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A07" w:rsidRDefault="004E6A07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8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1"/>
        <w:gridCol w:w="5911"/>
      </w:tblGrid>
      <w:tr w:rsidR="004E6A07" w:rsidTr="00DC2F83">
        <w:trPr>
          <w:trHeight w:val="2131"/>
        </w:trPr>
        <w:tc>
          <w:tcPr>
            <w:tcW w:w="8132" w:type="dxa"/>
            <w:gridSpan w:val="2"/>
            <w:tcBorders>
              <w:top w:val="nil"/>
              <w:left w:val="nil"/>
              <w:right w:val="nil"/>
            </w:tcBorders>
          </w:tcPr>
          <w:p w:rsidR="004E6A07" w:rsidRPr="00445623" w:rsidRDefault="00E53E5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A07" w:rsidRPr="00BF0692" w:rsidRDefault="00E53E5F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418205" cy="1473200"/>
                      <wp:effectExtent l="0" t="0" r="0" b="0"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8205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13F" w:rsidRPr="00445623" w:rsidRDefault="007B613F" w:rsidP="00E557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C</w:t>
                                  </w:r>
                                  <w:r w:rsidRPr="0044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илабус навчальної дисципліни</w:t>
                                  </w:r>
                                </w:p>
                                <w:p w:rsidR="007B613F" w:rsidRPr="00445623" w:rsidRDefault="007B613F" w:rsidP="008E50C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4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«</w:t>
                                  </w:r>
                                  <w:r w:rsidR="00363D5C">
                                    <w:rPr>
                                      <w:rFonts w:ascii="Times New Roman" w:hAnsi="Times New Roman"/>
                                      <w:b/>
                                      <w:shd w:val="clear" w:color="auto" w:fill="FFFFFF"/>
                                    </w:rPr>
                                    <w:t>ПЕНІТЕНЦІАРНА ПСИХОЛОГІЯ</w:t>
                                  </w:r>
                                  <w:r w:rsidRPr="004456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»</w:t>
                                  </w:r>
                                </w:p>
                                <w:p w:rsidR="007B613F" w:rsidRPr="00972DC7" w:rsidRDefault="007B613F" w:rsidP="00972D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Освітньо-професійна програма «Пр</w:t>
                                  </w:r>
                                  <w:r w:rsidR="00363D5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авоохоронна діяльність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»</w:t>
                                  </w:r>
                                </w:p>
                                <w:p w:rsidR="007B613F" w:rsidRPr="005C55AD" w:rsidRDefault="007B613F" w:rsidP="00655D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spellStart"/>
                                  <w:r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</w:t>
                                  </w:r>
                                  <w:r w:rsidR="007E1B57"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</w:t>
                                  </w:r>
                                  <w:r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пеціальність</w:t>
                                  </w:r>
                                  <w:proofErr w:type="spellEnd"/>
                                  <w:r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="00972DC7"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262</w:t>
                                  </w:r>
                                  <w:r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«</w:t>
                                  </w:r>
                                  <w:r w:rsidR="00972DC7"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Правоохоронна діяльність</w:t>
                                  </w:r>
                                  <w:r w:rsidRPr="005C55AD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»</w:t>
                                  </w:r>
                                </w:p>
                                <w:p w:rsidR="007B613F" w:rsidRDefault="007B613F" w:rsidP="00655D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width:269.15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TOtgWAgAA+gMAAA4AAABkcnMvZTJvRG9jLnhtbKxTXY7TMBB+R+IOlt9pmrbLLlHT1dJV&#13;&#10;EdLyIy0cwHGcxCLxmLHbpFyGU+wTEmfokRg77W6BN4QfLI9n/M1834yX10PXsp1Cp8HkPJ1MOVNG&#13;&#10;QqlNnfPPnzYvrjhzXphStGBUzvfK8evV82fL3mZqBg20pUJGIMZlvc15473NksTJRnXCTcAqQ84K&#13;&#10;sBOeTKyTEkVP6F2bzKbTl0kPWFoEqZyj29vRyVcRv6qU9B+qyinP2pxTbT7uGPci7slqKbIahW20&#13;&#10;PNYh/qGMTmhDWR+hboUXbIv6L6hOSwQHlZ9I6BKoKi1VJEF00ukfdO4bYVUkQ+o4+6iT+3+w8v3u&#13;&#10;IzJd5nzGmREd9ejw/fDz8OPwwOackTy9dRlF3VuK88NrGKjPkaqzdyC/OGZg3QhTqxtE6BslSiov&#13;&#10;jU+Ts7cjkAsoRf8OSkokth4i0lBhF8QjORjBU6P2T81Rg2eSbueL9Go2veBMkjNdXM6p/2MWkZ0A&#13;&#10;LDr/RkHHwiHnSP2PCcTuzvlAJhHZKSYkdNDqcqPbNhpYF+sW2U7QsGziOuH/FteaEG0gvDtihqtI&#13;&#10;NvAbmfqhGE7yFVDuiTfCOH/0X+jQAH7jrKfRy7n7uhWoOGvfGhLvVbpYhGGNxuLickYGnnuKc48w&#13;&#10;kqBy7jkbj2s/DvjWoq4byjS2y8AN6V3pUYfQmbGsY+U0X1Ge418IA3xux6inL7v6BQAA//8DAFBL&#13;&#10;AwQUAAYACAAAACEAkkMnMN0AAAALAQAADwAAAGRycy9kb3ducmV2LnhtbEyPQU/DMAyF70j8h8hI&#13;&#10;3Fi6FtDUNZ0QiCsS29g5a0xTkThVkm3dfj2GC1yeZD/5+X3NavJOHDGmIZCC+awAgdQFM1CvYLt5&#13;&#10;vVuASFmT0S4QKjhjglV7fdXo2oQTveNxnXvBIZRqrcDmPNZSps6i12kWRiT2PkP0OvMYe2miPnG4&#13;&#10;d7Isikfp9UD8weoRny12X+uDV7Dr/WX3MR+jNd7d09vlvNmGQanbm+llyfK0BJFxyn8X8MPA/aHl&#13;&#10;YvtwIJOEU8A0+VfZe6gWFYi9grIqeS/bRv5naL8BAAD//wMAUEsBAi0AFAAGAAgAAAAhAFoik6P/&#13;&#10;AAAA5QEAABMAAAAAAAAAAAAAAAAAAAAAAFtDb250ZW50X1R5cGVzXS54bWxQSwECLQAUAAYACAAA&#13;&#10;ACEAp0rPONcAAACWAQAACwAAAAAAAAAAAAAAAAAwAQAAX3JlbHMvLnJlbHNQSwECLQAUAAYACAAA&#13;&#10;ACEAUFM62BYCAAD6AwAADgAAAAAAAAAAAAAAAAAwAgAAZHJzL2Uyb0RvYy54bWxQSwECLQAUAAYA&#13;&#10;CAAAACEAkkMnMN0AAAALAQAADwAAAAAAAAAAAAAAAAByBAAAZHJzL2Rvd25yZXYueG1sUEsFBgAA&#13;&#10;AAAEAAQA8wAAAHwFAAAAAA==&#13;&#10;" stroked="f" strokeweight=".5pt">
                      <v:textbox>
                        <w:txbxContent>
                          <w:p w:rsidR="007B613F" w:rsidRPr="00445623" w:rsidRDefault="007B613F" w:rsidP="00E55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C</w:t>
                            </w: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илабус навчальної дисципліни</w:t>
                            </w:r>
                          </w:p>
                          <w:p w:rsidR="007B613F" w:rsidRPr="00445623" w:rsidRDefault="007B613F" w:rsidP="008E50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="00363D5C">
                              <w:rPr>
                                <w:rFonts w:ascii="Times New Roman" w:hAnsi="Times New Roman"/>
                                <w:b/>
                                <w:shd w:val="clear" w:color="auto" w:fill="FFFFFF"/>
                              </w:rPr>
                              <w:t>ПЕНІТЕНЦІАРНА ПСИХОЛОГІЯ</w:t>
                            </w: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7B613F" w:rsidRPr="00972DC7" w:rsidRDefault="007B613F" w:rsidP="00972D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Освітньо-професійна програма «Пр</w:t>
                            </w:r>
                            <w:r w:rsidR="00363D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авоохоронна діяльність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7B613F" w:rsidRPr="005C55AD" w:rsidRDefault="007B613F" w:rsidP="0065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С</w:t>
                            </w:r>
                            <w:r w:rsidR="007E1B57"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С</w:t>
                            </w:r>
                            <w:r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пеціальність</w:t>
                            </w:r>
                            <w:proofErr w:type="spellEnd"/>
                            <w:r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</w:t>
                            </w:r>
                            <w:r w:rsidR="00972DC7"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262</w:t>
                            </w:r>
                            <w:r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</w:t>
                            </w:r>
                            <w:r w:rsidR="00972DC7"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Правоохоронна діяльність</w:t>
                            </w:r>
                            <w:r w:rsidRPr="005C55A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7B613F" w:rsidRDefault="007B613F" w:rsidP="00655DB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inline distT="0" distB="0" distL="0" distR="0">
                  <wp:extent cx="1346200" cy="13462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освітньо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-науковий)</w:t>
            </w:r>
          </w:p>
        </w:tc>
        <w:tc>
          <w:tcPr>
            <w:tcW w:w="5911" w:type="dxa"/>
          </w:tcPr>
          <w:p w:rsidR="004E6A07" w:rsidRPr="00037E53" w:rsidRDefault="00363D5C" w:rsidP="00363D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</w:t>
            </w:r>
            <w:r w:rsidR="00824B34" w:rsidRPr="001F7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бакалаврський</w:t>
            </w:r>
            <w:r w:rsidR="00824B34" w:rsidRPr="001F7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5911" w:type="dxa"/>
          </w:tcPr>
          <w:p w:rsidR="004E6A07" w:rsidRPr="005C55AD" w:rsidRDefault="00BF0215" w:rsidP="00655D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55A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фахового переліку 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5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911" w:type="dxa"/>
          </w:tcPr>
          <w:p w:rsidR="004E6A07" w:rsidRPr="00E64C3F" w:rsidRDefault="00B62543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4E6A07" w:rsidRPr="00445623" w:rsidRDefault="004E6A07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</w:t>
            </w:r>
            <w:r w:rsidR="00E5575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911" w:type="dxa"/>
          </w:tcPr>
          <w:p w:rsidR="004E6A07" w:rsidRPr="007C1E64" w:rsidRDefault="001E3452" w:rsidP="00E5575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1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824B34" w:rsidRPr="007C1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C1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 кредити</w:t>
            </w:r>
            <w:r w:rsidR="004E6A07" w:rsidRPr="007C1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\</w:t>
            </w:r>
            <w:r w:rsidRPr="007C1E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120 годин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5911" w:type="dxa"/>
          </w:tcPr>
          <w:p w:rsidR="004E6A07" w:rsidRPr="00B84F5D" w:rsidRDefault="004E6A07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5911" w:type="dxa"/>
          </w:tcPr>
          <w:p w:rsidR="004E6A07" w:rsidRPr="00477085" w:rsidRDefault="00363D5C" w:rsidP="00363D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Пенітенціарна психологія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 один</w:t>
            </w:r>
            <w:r w:rsidRPr="00363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напрямів юридичної психології, що досліджує психологічні закономірності динаміки особистості у процесі відбування покарання, у тому числі - у місцях позбавлення волі,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також</w:t>
            </w:r>
            <w:r w:rsidRPr="00363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особливості формування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Pr="00363D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функціонування мікрогруп засуджених.</w:t>
            </w:r>
          </w:p>
        </w:tc>
      </w:tr>
      <w:tr w:rsidR="004E6A07" w:rsidTr="00DC2F83">
        <w:trPr>
          <w:trHeight w:val="911"/>
        </w:trPr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5911" w:type="dxa"/>
          </w:tcPr>
          <w:p w:rsidR="004E6A07" w:rsidRPr="00AC1801" w:rsidRDefault="00363D5C" w:rsidP="00363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фахівців з правоохоронної діяльності знання пенітенціарної психології дозволять якісно та кваліфіковано виконувати свої професійні завдання.</w:t>
            </w:r>
            <w:r w:rsidR="00E66694" w:rsidRPr="00E666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5911" w:type="dxa"/>
          </w:tcPr>
          <w:p w:rsidR="004E6A07" w:rsidRPr="00E66694" w:rsidRDefault="00E66694" w:rsidP="00363D5C">
            <w:pPr>
              <w:pStyle w:val="a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66694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proofErr w:type="spellStart"/>
            <w:r w:rsidR="00363D5C" w:rsidRPr="00363D5C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363D5C" w:rsidRPr="00363D5C">
              <w:rPr>
                <w:rFonts w:ascii="Times New Roman" w:hAnsi="Times New Roman"/>
                <w:sz w:val="24"/>
                <w:szCs w:val="24"/>
              </w:rPr>
              <w:t xml:space="preserve"> вмінь та навичок корекції і </w:t>
            </w:r>
            <w:proofErr w:type="spellStart"/>
            <w:r w:rsidR="00363D5C" w:rsidRPr="00363D5C">
              <w:rPr>
                <w:rFonts w:ascii="Times New Roman" w:hAnsi="Times New Roman"/>
                <w:sz w:val="24"/>
                <w:szCs w:val="24"/>
              </w:rPr>
              <w:t>ресоціалізації</w:t>
            </w:r>
            <w:proofErr w:type="spellEnd"/>
            <w:r w:rsidR="00363D5C" w:rsidRPr="00363D5C">
              <w:rPr>
                <w:rFonts w:ascii="Times New Roman" w:hAnsi="Times New Roman"/>
                <w:sz w:val="24"/>
                <w:szCs w:val="24"/>
              </w:rPr>
              <w:t xml:space="preserve"> засуджених</w:t>
            </w:r>
            <w:r w:rsidR="00363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5911" w:type="dxa"/>
          </w:tcPr>
          <w:p w:rsidR="008E50CE" w:rsidRDefault="00E55754" w:rsidP="008E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0CE">
              <w:rPr>
                <w:rFonts w:ascii="Times New Roman" w:hAnsi="Times New Roman"/>
                <w:sz w:val="24"/>
                <w:szCs w:val="24"/>
              </w:rPr>
              <w:t xml:space="preserve">У результаті вивчення навчальної дисципліни студент повинен набути наступні компетентності: </w:t>
            </w:r>
          </w:p>
          <w:p w:rsidR="00E66694" w:rsidRPr="00E66694" w:rsidRDefault="007B613F" w:rsidP="00E66694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8E50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6694" w:rsidRPr="00E666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здатність до оволодіння </w:t>
            </w:r>
            <w:r w:rsidR="00363D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принципів та методів вивчення особистості засуджених з метою здійснення позитивного пстхологічного впливу;</w:t>
            </w:r>
            <w:r w:rsidR="00E66694" w:rsidRPr="00E666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E66694" w:rsidRPr="00AA6DDF" w:rsidRDefault="00E66694" w:rsidP="00AA6DDF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допоможе </w:t>
            </w:r>
            <w:r w:rsid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студентам</w:t>
            </w:r>
            <w:r w:rsidRP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у </w:t>
            </w:r>
            <w:r w:rsidR="00AA6DDF" w:rsidRP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розумінн</w:t>
            </w:r>
            <w:r w:rsid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і</w:t>
            </w:r>
            <w:r w:rsidR="00AA6DDF" w:rsidRP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закономірностей та особливостей розвитку і функціонування психічних явищ в контексті професійних завдань</w:t>
            </w:r>
            <w:r w:rsid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;</w:t>
            </w:r>
          </w:p>
          <w:p w:rsidR="00363D5C" w:rsidRPr="00E66694" w:rsidRDefault="00E66694" w:rsidP="00AA6DDF">
            <w:pPr>
              <w:widowControl w:val="0"/>
              <w:numPr>
                <w:ilvl w:val="0"/>
                <w:numId w:val="4"/>
              </w:num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E666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розвине у правників  здатність </w:t>
            </w:r>
            <w:r w:rsid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ф</w:t>
            </w:r>
            <w:r w:rsidR="00AA6DDF" w:rsidRP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ормулювати думку логічно, доступно, дискутувати, отстоювати власну позицію, модифікувати висловлювання відповідно до культуральних особливостей співрозмовника</w:t>
            </w:r>
            <w:r w:rsidR="00AA6DD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.</w:t>
            </w:r>
            <w:r w:rsidRPr="00E6669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5911" w:type="dxa"/>
          </w:tcPr>
          <w:p w:rsidR="00E66694" w:rsidRDefault="004E6A07" w:rsidP="001F7CEC">
            <w:pPr>
              <w:pStyle w:val="2"/>
              <w:widowControl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1F7CEC">
              <w:rPr>
                <w:b/>
                <w:sz w:val="24"/>
                <w:szCs w:val="24"/>
              </w:rPr>
              <w:t>Зміст дисципліни</w:t>
            </w:r>
            <w:r w:rsidRPr="005974B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Пенітенціарна психологія як самостійна галузь психологічної науки.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Психологія особистості засуджених.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Психологія взаємодії засудженого та працівників пенітенціарної сфери.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Психологічна характеристика мікросередовища засуджених.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Суб’єктивні та об’єктивні чинники соціальної адаптації засуджених.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Психологічний вплив на особистість у пенітенціарній системі.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Психологічна підготовка до умов життя на волі.</w:t>
            </w:r>
            <w:r w:rsidR="00AA6DDF">
              <w:rPr>
                <w:sz w:val="24"/>
                <w:szCs w:val="24"/>
              </w:rPr>
              <w:t xml:space="preserve"> </w:t>
            </w:r>
            <w:r w:rsidR="00AA6DDF" w:rsidRPr="00AA6DDF">
              <w:rPr>
                <w:sz w:val="24"/>
                <w:szCs w:val="24"/>
              </w:rPr>
              <w:t>Психологічна підготовка та засоби профілактики професійної деформації особистості співробітника установи виконання покарань.</w:t>
            </w:r>
          </w:p>
          <w:p w:rsidR="004E6A07" w:rsidRPr="00122A3F" w:rsidRDefault="004E6A07" w:rsidP="001F7CEC">
            <w:pPr>
              <w:pStyle w:val="2"/>
              <w:widowControl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1F7CEC">
              <w:rPr>
                <w:b/>
                <w:sz w:val="24"/>
                <w:szCs w:val="24"/>
              </w:rPr>
              <w:t>Види занять</w:t>
            </w:r>
            <w:r w:rsidRPr="001F7CEC">
              <w:rPr>
                <w:sz w:val="24"/>
                <w:szCs w:val="24"/>
              </w:rPr>
              <w:t xml:space="preserve">: </w:t>
            </w:r>
            <w:r w:rsidRPr="00122A3F">
              <w:rPr>
                <w:sz w:val="24"/>
                <w:szCs w:val="24"/>
              </w:rPr>
              <w:t>лекції</w:t>
            </w:r>
            <w:r w:rsidR="00887C8A">
              <w:rPr>
                <w:sz w:val="24"/>
                <w:szCs w:val="24"/>
              </w:rPr>
              <w:t xml:space="preserve"> (</w:t>
            </w:r>
            <w:r w:rsidR="001E3452">
              <w:rPr>
                <w:color w:val="FF0000"/>
                <w:sz w:val="24"/>
                <w:szCs w:val="24"/>
              </w:rPr>
              <w:t>17</w:t>
            </w:r>
            <w:r w:rsidR="00887C8A" w:rsidRPr="00AA6DDF">
              <w:rPr>
                <w:color w:val="FF0000"/>
                <w:sz w:val="24"/>
                <w:szCs w:val="24"/>
              </w:rPr>
              <w:t xml:space="preserve"> годин</w:t>
            </w:r>
            <w:r w:rsidR="00887C8A">
              <w:rPr>
                <w:sz w:val="24"/>
                <w:szCs w:val="24"/>
              </w:rPr>
              <w:t>)</w:t>
            </w:r>
            <w:r w:rsidRPr="00122A3F">
              <w:rPr>
                <w:sz w:val="24"/>
                <w:szCs w:val="24"/>
              </w:rPr>
              <w:t>, практичні</w:t>
            </w:r>
            <w:r w:rsidR="00887C8A">
              <w:rPr>
                <w:sz w:val="24"/>
                <w:szCs w:val="24"/>
              </w:rPr>
              <w:t xml:space="preserve"> (</w:t>
            </w:r>
            <w:r w:rsidR="003041D3">
              <w:rPr>
                <w:color w:val="FF0000"/>
                <w:sz w:val="24"/>
                <w:szCs w:val="24"/>
              </w:rPr>
              <w:t>34</w:t>
            </w:r>
            <w:r w:rsidR="00887C8A" w:rsidRPr="00AA6DDF">
              <w:rPr>
                <w:color w:val="FF0000"/>
                <w:sz w:val="24"/>
                <w:szCs w:val="24"/>
              </w:rPr>
              <w:t xml:space="preserve"> </w:t>
            </w:r>
            <w:r w:rsidR="003041D3">
              <w:rPr>
                <w:color w:val="FF0000"/>
                <w:sz w:val="24"/>
                <w:szCs w:val="24"/>
              </w:rPr>
              <w:t>години</w:t>
            </w:r>
            <w:r w:rsidR="00887C8A">
              <w:rPr>
                <w:sz w:val="24"/>
                <w:szCs w:val="24"/>
              </w:rPr>
              <w:t xml:space="preserve">), консультації </w:t>
            </w:r>
          </w:p>
          <w:p w:rsidR="007B613F" w:rsidRDefault="004E6A07" w:rsidP="001F7CEC">
            <w:pPr>
              <w:pStyle w:val="2"/>
              <w:widowControl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1F7CEC">
              <w:rPr>
                <w:b/>
                <w:sz w:val="24"/>
                <w:szCs w:val="24"/>
              </w:rPr>
              <w:t>Методи навчання</w:t>
            </w:r>
            <w:r w:rsidRPr="00893899">
              <w:rPr>
                <w:sz w:val="24"/>
                <w:szCs w:val="24"/>
              </w:rPr>
              <w:t xml:space="preserve"> </w:t>
            </w:r>
            <w:r w:rsidR="007B613F">
              <w:rPr>
                <w:sz w:val="24"/>
                <w:szCs w:val="24"/>
              </w:rPr>
              <w:t xml:space="preserve"> пояснювально-ілюстративний метод; метод проблемного викладу;  репродуктивний метод;  сократівський метод,  </w:t>
            </w:r>
            <w:proofErr w:type="spellStart"/>
            <w:r w:rsidR="007B613F">
              <w:rPr>
                <w:sz w:val="24"/>
                <w:szCs w:val="24"/>
              </w:rPr>
              <w:t>брейнстормінг</w:t>
            </w:r>
            <w:proofErr w:type="spellEnd"/>
            <w:r w:rsidR="007B613F">
              <w:rPr>
                <w:sz w:val="24"/>
                <w:szCs w:val="24"/>
              </w:rPr>
              <w:t xml:space="preserve"> (мозковий штурм),   дослідницький метод.</w:t>
            </w:r>
          </w:p>
          <w:p w:rsidR="004E6A07" w:rsidRPr="001F7CEC" w:rsidRDefault="004E6A07" w:rsidP="001F7CEC">
            <w:pPr>
              <w:pStyle w:val="2"/>
              <w:widowControl w:val="0"/>
              <w:spacing w:after="0"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1F7CEC">
              <w:rPr>
                <w:b/>
                <w:sz w:val="24"/>
                <w:szCs w:val="24"/>
              </w:rPr>
              <w:t>Форми навчання</w:t>
            </w:r>
            <w:r w:rsidRPr="001F7CEC">
              <w:rPr>
                <w:sz w:val="24"/>
                <w:szCs w:val="24"/>
              </w:rPr>
              <w:t xml:space="preserve">: </w:t>
            </w:r>
            <w:r w:rsidR="004C7E06">
              <w:rPr>
                <w:sz w:val="24"/>
                <w:szCs w:val="24"/>
              </w:rPr>
              <w:t>денна (очна),</w:t>
            </w:r>
            <w:r>
              <w:rPr>
                <w:sz w:val="24"/>
                <w:szCs w:val="24"/>
              </w:rPr>
              <w:t xml:space="preserve"> </w:t>
            </w:r>
            <w:r w:rsidRPr="00122A3F">
              <w:rPr>
                <w:sz w:val="24"/>
                <w:szCs w:val="24"/>
              </w:rPr>
              <w:t>дистанційна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5911" w:type="dxa"/>
          </w:tcPr>
          <w:p w:rsidR="004E6A07" w:rsidRPr="00122A3F" w:rsidRDefault="00657B88" w:rsidP="00E66694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4E6A07"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агальні знання</w:t>
            </w:r>
            <w:r w:rsidR="004E6A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r w:rsidR="001F7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держав</w:t>
            </w:r>
            <w:r w:rsidR="00E666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і права, галузевих дисциплін.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65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5911" w:type="dxa"/>
          </w:tcPr>
          <w:p w:rsidR="004E6A07" w:rsidRPr="00122A3F" w:rsidRDefault="004E6A07" w:rsidP="00AA6D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</w:t>
            </w:r>
            <w:r w:rsidR="001F7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даної дисципліни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використані під час написання </w:t>
            </w:r>
            <w:r w:rsidR="001F7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наукових статей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F7C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тез доповідей для участі у наукових конференцій,</w:t>
            </w:r>
            <w:r w:rsidR="00AA6D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вивчення кримінально-виконавчого права.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4E6A07" w:rsidRPr="00445623" w:rsidRDefault="004E6A07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фонду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 НТБ НАУ</w:t>
            </w:r>
          </w:p>
        </w:tc>
        <w:tc>
          <w:tcPr>
            <w:tcW w:w="5911" w:type="dxa"/>
          </w:tcPr>
          <w:p w:rsidR="004E6A07" w:rsidRPr="007B613F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C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Навчальна та наукова література</w:t>
            </w:r>
            <w:r w:rsidRPr="007B61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A6DDF" w:rsidRPr="00AA6DDF" w:rsidRDefault="007B613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AA6DDF"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Бочелюк</w:t>
            </w:r>
            <w:proofErr w:type="spellEnd"/>
            <w:r w:rsidR="00AA6DDF"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Віталій Йосипович. Юридична психологія : </w:t>
            </w:r>
            <w:proofErr w:type="spellStart"/>
            <w:r w:rsidR="00AA6DDF"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навч</w:t>
            </w:r>
            <w:proofErr w:type="spellEnd"/>
            <w:r w:rsidR="00AA6DDF"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AA6DDF"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посіб</w:t>
            </w:r>
            <w:proofErr w:type="spellEnd"/>
            <w:r w:rsidR="00AA6DDF" w:rsidRPr="00AA6DD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студ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вищ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навч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закл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Електрон.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дан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. – Режим доступу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http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://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library.vspu.edu.ua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inform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/psiholog.htm.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Медведєв В. С. Кримінальна психологія: Підручник. Електрон.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дан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– Режим доступу http://ualibrarium.narod.ru/human/psyhologija.html.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Бедь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 В. Юридична психологія: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Навч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посіб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- 2-ге вид.,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доп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. і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переробл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Електрон.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дан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. – Режим доступу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http://ualibrarium.narod.ru/human/psyhologija.html..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4. Орбан-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Лембрик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Л.Е.,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Кощинець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В.В. Юридична психологія:</w:t>
            </w:r>
          </w:p>
          <w:p w:rsidR="00AA6DDF" w:rsidRPr="00AA6DDF" w:rsidRDefault="00AA6DDF" w:rsidP="00AA6D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Навчальний посібник. Електрон. </w:t>
            </w:r>
            <w:proofErr w:type="spellStart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дан</w:t>
            </w:r>
            <w:proofErr w:type="spellEnd"/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>. – Режим доступу</w:t>
            </w:r>
          </w:p>
          <w:p w:rsidR="004E6A07" w:rsidRPr="00CC1075" w:rsidRDefault="00AA6DDF" w:rsidP="004A56C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6D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http://ualibrarium.narod.ru/human/psyhologija.html. 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5911" w:type="dxa"/>
          </w:tcPr>
          <w:p w:rsidR="004E6A07" w:rsidRPr="00F91C58" w:rsidRDefault="004E6A07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лекційного і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практичного навчання, мультимедійне обладнання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5911" w:type="dxa"/>
          </w:tcPr>
          <w:p w:rsidR="004E6A07" w:rsidRPr="00657B88" w:rsidRDefault="00E66694" w:rsidP="007B6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  <w:r w:rsidR="004E6A07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57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складання </w:t>
            </w:r>
            <w:r w:rsidR="007B61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конспектів занять, написання наукових робіт</w:t>
            </w:r>
            <w:r w:rsidR="00657B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E6A07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створення проектів і презентацій.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5911" w:type="dxa"/>
          </w:tcPr>
          <w:p w:rsidR="004E6A07" w:rsidRPr="003E12D1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5911" w:type="dxa"/>
          </w:tcPr>
          <w:p w:rsidR="004E6A07" w:rsidRPr="003E12D1" w:rsidRDefault="004E6A07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4E6A07" w:rsidTr="00DC2F83">
        <w:trPr>
          <w:trHeight w:val="2358"/>
        </w:trPr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5911" w:type="dxa"/>
          </w:tcPr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E50CE">
              <w:rPr>
                <w:rFonts w:ascii="Times New Roman" w:hAnsi="Times New Roman"/>
                <w:sz w:val="24"/>
                <w:szCs w:val="24"/>
              </w:rPr>
              <w:t>Рибікова Ганна Володимирівна</w:t>
            </w:r>
          </w:p>
          <w:p w:rsidR="004E6A07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8E50CE" w:rsidRDefault="004E6A07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кандидат юридичних наук</w:t>
            </w:r>
            <w:r w:rsidR="001C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A07" w:rsidRPr="00F91C58" w:rsidRDefault="001C64CE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F3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388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3889" w:rsidRDefault="004E6A07" w:rsidP="007B12BE">
            <w:pPr>
              <w:spacing w:after="0" w:line="240" w:lineRule="auto"/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443889" w:rsidRPr="00FA2F80">
                <w:rPr>
                  <w:rStyle w:val="a8"/>
                </w:rPr>
                <w:t>http://www.law.nau.edu.ua/uk/caphedras/chair2/525-ribikova-anna-volodimirivna</w:t>
              </w:r>
            </w:hyperlink>
          </w:p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 w:rsidR="00EB1618">
              <w:rPr>
                <w:rFonts w:ascii="Times New Roman" w:hAnsi="Times New Roman"/>
                <w:sz w:val="24"/>
                <w:szCs w:val="24"/>
              </w:rPr>
              <w:t>406-79-14</w:t>
            </w:r>
          </w:p>
          <w:p w:rsidR="004E6A07" w:rsidRPr="003E12D1" w:rsidRDefault="004E6A07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E6669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8E50CE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E50CE">
              <w:rPr>
                <w:rFonts w:ascii="Times New Roman" w:hAnsi="Times New Roman"/>
                <w:sz w:val="24"/>
                <w:szCs w:val="24"/>
                <w:lang w:val="en-US"/>
              </w:rPr>
              <w:t>rybikova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@npp.nau.edu.ua</w:t>
            </w:r>
          </w:p>
          <w:p w:rsidR="004E6A07" w:rsidRPr="00C13D43" w:rsidRDefault="004E6A07" w:rsidP="00C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5911" w:type="dxa"/>
          </w:tcPr>
          <w:p w:rsidR="004E6A07" w:rsidRPr="00F91C58" w:rsidRDefault="004E6A07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4E6A07" w:rsidTr="00DC2F83">
        <w:tc>
          <w:tcPr>
            <w:tcW w:w="2221" w:type="dxa"/>
            <w:shd w:val="clear" w:color="auto" w:fill="FFFFFF"/>
          </w:tcPr>
          <w:p w:rsidR="004E6A07" w:rsidRPr="00445623" w:rsidRDefault="004E6A07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5911" w:type="dxa"/>
          </w:tcPr>
          <w:p w:rsidR="004E6A07" w:rsidRPr="00C77F77" w:rsidRDefault="00C77F77" w:rsidP="005D01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://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classroom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.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/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/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NDQ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0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NjI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1</w:t>
            </w:r>
            <w:r w:rsidRPr="00C77F77">
              <w:rPr>
                <w:rFonts w:ascii="Times New Roman" w:hAnsi="Times New Roman"/>
                <w:sz w:val="24"/>
                <w:szCs w:val="24"/>
                <w:lang w:val="en-US"/>
              </w:rPr>
              <w:t>NzUwNDk</w:t>
            </w:r>
            <w:r w:rsidRPr="00C77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6A07" w:rsidRDefault="004E6A07" w:rsidP="001F7CE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E6A07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C74D41"/>
    <w:multiLevelType w:val="hybridMultilevel"/>
    <w:tmpl w:val="9F94612C"/>
    <w:lvl w:ilvl="0" w:tplc="C3AE766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5FDA6BE4"/>
    <w:multiLevelType w:val="hybridMultilevel"/>
    <w:tmpl w:val="C292F44C"/>
    <w:lvl w:ilvl="0" w:tplc="02CE1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B"/>
    <w:rsid w:val="00000D2D"/>
    <w:rsid w:val="00006470"/>
    <w:rsid w:val="00011D18"/>
    <w:rsid w:val="0003297D"/>
    <w:rsid w:val="00034328"/>
    <w:rsid w:val="00037E53"/>
    <w:rsid w:val="0004495A"/>
    <w:rsid w:val="000567E7"/>
    <w:rsid w:val="00056A7A"/>
    <w:rsid w:val="0006094D"/>
    <w:rsid w:val="00071FB3"/>
    <w:rsid w:val="00082266"/>
    <w:rsid w:val="000856E9"/>
    <w:rsid w:val="000875E4"/>
    <w:rsid w:val="000A1EE4"/>
    <w:rsid w:val="000A44C5"/>
    <w:rsid w:val="000C183E"/>
    <w:rsid w:val="000C404C"/>
    <w:rsid w:val="000E78D3"/>
    <w:rsid w:val="00102B7E"/>
    <w:rsid w:val="00102E7A"/>
    <w:rsid w:val="00112275"/>
    <w:rsid w:val="001134A9"/>
    <w:rsid w:val="00122A3F"/>
    <w:rsid w:val="00125BC9"/>
    <w:rsid w:val="001B06CF"/>
    <w:rsid w:val="001C64CE"/>
    <w:rsid w:val="001E1136"/>
    <w:rsid w:val="001E3452"/>
    <w:rsid w:val="001F7CEC"/>
    <w:rsid w:val="00220B08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41D3"/>
    <w:rsid w:val="00306716"/>
    <w:rsid w:val="0030683F"/>
    <w:rsid w:val="00342769"/>
    <w:rsid w:val="00346EE1"/>
    <w:rsid w:val="00363D5C"/>
    <w:rsid w:val="00374152"/>
    <w:rsid w:val="003A100D"/>
    <w:rsid w:val="003A4229"/>
    <w:rsid w:val="003C2666"/>
    <w:rsid w:val="003E12D1"/>
    <w:rsid w:val="003E287A"/>
    <w:rsid w:val="003E423D"/>
    <w:rsid w:val="003F2645"/>
    <w:rsid w:val="004315CF"/>
    <w:rsid w:val="004408A5"/>
    <w:rsid w:val="00443889"/>
    <w:rsid w:val="00443BFD"/>
    <w:rsid w:val="00445623"/>
    <w:rsid w:val="00447CF0"/>
    <w:rsid w:val="00452ABE"/>
    <w:rsid w:val="00457F79"/>
    <w:rsid w:val="004737DD"/>
    <w:rsid w:val="00477085"/>
    <w:rsid w:val="00483C1A"/>
    <w:rsid w:val="00491581"/>
    <w:rsid w:val="00493EA9"/>
    <w:rsid w:val="004A56C0"/>
    <w:rsid w:val="004C58B5"/>
    <w:rsid w:val="004C7E06"/>
    <w:rsid w:val="004E1B16"/>
    <w:rsid w:val="004E6A07"/>
    <w:rsid w:val="004E7020"/>
    <w:rsid w:val="004F789F"/>
    <w:rsid w:val="00505A3B"/>
    <w:rsid w:val="00512953"/>
    <w:rsid w:val="0052285D"/>
    <w:rsid w:val="005250BB"/>
    <w:rsid w:val="00526E86"/>
    <w:rsid w:val="00540E63"/>
    <w:rsid w:val="00557AF7"/>
    <w:rsid w:val="00560F57"/>
    <w:rsid w:val="00592C3F"/>
    <w:rsid w:val="005953B2"/>
    <w:rsid w:val="005974B2"/>
    <w:rsid w:val="005A2945"/>
    <w:rsid w:val="005B35AB"/>
    <w:rsid w:val="005B37C3"/>
    <w:rsid w:val="005B555D"/>
    <w:rsid w:val="005B7D86"/>
    <w:rsid w:val="005C55AD"/>
    <w:rsid w:val="005D0164"/>
    <w:rsid w:val="005F077F"/>
    <w:rsid w:val="005F2BA7"/>
    <w:rsid w:val="005F5D70"/>
    <w:rsid w:val="006123BC"/>
    <w:rsid w:val="0061725E"/>
    <w:rsid w:val="00623E5B"/>
    <w:rsid w:val="006330A7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B4622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938F3"/>
    <w:rsid w:val="0079450F"/>
    <w:rsid w:val="007B12BE"/>
    <w:rsid w:val="007B613F"/>
    <w:rsid w:val="007C134B"/>
    <w:rsid w:val="007C1E64"/>
    <w:rsid w:val="007D3755"/>
    <w:rsid w:val="007E1B57"/>
    <w:rsid w:val="007F7ADA"/>
    <w:rsid w:val="00815C10"/>
    <w:rsid w:val="00824B34"/>
    <w:rsid w:val="008365B6"/>
    <w:rsid w:val="00853ED7"/>
    <w:rsid w:val="0087252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E50CE"/>
    <w:rsid w:val="008F170C"/>
    <w:rsid w:val="00905529"/>
    <w:rsid w:val="009277D0"/>
    <w:rsid w:val="0093337E"/>
    <w:rsid w:val="00960271"/>
    <w:rsid w:val="00972DC7"/>
    <w:rsid w:val="0097324C"/>
    <w:rsid w:val="00980439"/>
    <w:rsid w:val="009918F4"/>
    <w:rsid w:val="009A170E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16B34"/>
    <w:rsid w:val="00A308B5"/>
    <w:rsid w:val="00A34619"/>
    <w:rsid w:val="00A50DBD"/>
    <w:rsid w:val="00A54B71"/>
    <w:rsid w:val="00A65219"/>
    <w:rsid w:val="00A80862"/>
    <w:rsid w:val="00A817FB"/>
    <w:rsid w:val="00A8311D"/>
    <w:rsid w:val="00A902E5"/>
    <w:rsid w:val="00AA6DDF"/>
    <w:rsid w:val="00AA787D"/>
    <w:rsid w:val="00AB6D2D"/>
    <w:rsid w:val="00AC1801"/>
    <w:rsid w:val="00AC5EAC"/>
    <w:rsid w:val="00AF2BAA"/>
    <w:rsid w:val="00B15AF6"/>
    <w:rsid w:val="00B161EC"/>
    <w:rsid w:val="00B548A1"/>
    <w:rsid w:val="00B5731A"/>
    <w:rsid w:val="00B6057A"/>
    <w:rsid w:val="00B62543"/>
    <w:rsid w:val="00B65233"/>
    <w:rsid w:val="00B6523B"/>
    <w:rsid w:val="00B84F5D"/>
    <w:rsid w:val="00BA3F7C"/>
    <w:rsid w:val="00BA48FE"/>
    <w:rsid w:val="00BA69F7"/>
    <w:rsid w:val="00BC1442"/>
    <w:rsid w:val="00BC24AA"/>
    <w:rsid w:val="00BD4127"/>
    <w:rsid w:val="00BE0CCB"/>
    <w:rsid w:val="00BF0215"/>
    <w:rsid w:val="00BF0692"/>
    <w:rsid w:val="00C1389B"/>
    <w:rsid w:val="00C13D43"/>
    <w:rsid w:val="00C77F77"/>
    <w:rsid w:val="00C90EDB"/>
    <w:rsid w:val="00C93D4C"/>
    <w:rsid w:val="00CA1977"/>
    <w:rsid w:val="00CA38FF"/>
    <w:rsid w:val="00CA52DF"/>
    <w:rsid w:val="00CB49DD"/>
    <w:rsid w:val="00CC1075"/>
    <w:rsid w:val="00CC4D91"/>
    <w:rsid w:val="00CC7136"/>
    <w:rsid w:val="00CD1CC5"/>
    <w:rsid w:val="00CE479B"/>
    <w:rsid w:val="00CF71C6"/>
    <w:rsid w:val="00D25539"/>
    <w:rsid w:val="00D36682"/>
    <w:rsid w:val="00D36971"/>
    <w:rsid w:val="00D37B99"/>
    <w:rsid w:val="00D44EB8"/>
    <w:rsid w:val="00D520DC"/>
    <w:rsid w:val="00D541B6"/>
    <w:rsid w:val="00D62930"/>
    <w:rsid w:val="00D749DA"/>
    <w:rsid w:val="00D9058A"/>
    <w:rsid w:val="00DC2F83"/>
    <w:rsid w:val="00DD0ACE"/>
    <w:rsid w:val="00DF1867"/>
    <w:rsid w:val="00DF3FB9"/>
    <w:rsid w:val="00E0214B"/>
    <w:rsid w:val="00E10AA3"/>
    <w:rsid w:val="00E21234"/>
    <w:rsid w:val="00E239DD"/>
    <w:rsid w:val="00E35157"/>
    <w:rsid w:val="00E353E4"/>
    <w:rsid w:val="00E40A5F"/>
    <w:rsid w:val="00E4248F"/>
    <w:rsid w:val="00E44EE0"/>
    <w:rsid w:val="00E53E5F"/>
    <w:rsid w:val="00E55754"/>
    <w:rsid w:val="00E56321"/>
    <w:rsid w:val="00E60C55"/>
    <w:rsid w:val="00E64C3F"/>
    <w:rsid w:val="00E66694"/>
    <w:rsid w:val="00E76934"/>
    <w:rsid w:val="00E81B95"/>
    <w:rsid w:val="00E97F0D"/>
    <w:rsid w:val="00E97F45"/>
    <w:rsid w:val="00EA4A8A"/>
    <w:rsid w:val="00EB1618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7C2A"/>
    <w:rsid w:val="00F6672E"/>
    <w:rsid w:val="00F72553"/>
    <w:rsid w:val="00F81E3B"/>
    <w:rsid w:val="00F91C58"/>
    <w:rsid w:val="00FB2A13"/>
    <w:rsid w:val="00FC7888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26407"/>
  <w15:docId w15:val="{22B36F73-5B80-4E31-AB9B-4CA6725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F4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AA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ий текст Знак"/>
    <w:basedOn w:val="a0"/>
    <w:link w:val="a6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a8">
    <w:name w:val="Hyperlink"/>
    <w:basedOn w:val="a0"/>
    <w:uiPriority w:val="99"/>
    <w:rsid w:val="00E3515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 Знак"/>
    <w:basedOn w:val="a0"/>
    <w:link w:val="aa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ac">
    <w:name w:val="Strong"/>
    <w:basedOn w:val="a0"/>
    <w:uiPriority w:val="99"/>
    <w:qFormat/>
    <w:locked/>
    <w:rsid w:val="004E1B16"/>
    <w:rPr>
      <w:rFonts w:cs="Times New Roman"/>
      <w:b/>
    </w:rPr>
  </w:style>
  <w:style w:type="paragraph" w:styleId="2">
    <w:name w:val="Body Text Indent 2"/>
    <w:basedOn w:val="a"/>
    <w:link w:val="20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E55754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21">
    <w:name w:val="Основной текст 21"/>
    <w:basedOn w:val="a"/>
    <w:rsid w:val="007B613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d">
    <w:name w:val="List Paragraph"/>
    <w:basedOn w:val="a"/>
    <w:uiPriority w:val="34"/>
    <w:qFormat/>
    <w:rsid w:val="00E6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law.nau.edu.ua/uk/caphedras/chair2/525-ribikova-anna-volodimirivn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(Ф 21</vt:lpstr>
    </vt:vector>
  </TitlesOfParts>
  <Company>diakov.net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Гостьовий користувач</cp:lastModifiedBy>
  <cp:revision>16</cp:revision>
  <cp:lastPrinted>2021-09-30T11:15:00Z</cp:lastPrinted>
  <dcterms:created xsi:type="dcterms:W3CDTF">2022-01-07T17:03:00Z</dcterms:created>
  <dcterms:modified xsi:type="dcterms:W3CDTF">2022-01-13T08:30:00Z</dcterms:modified>
</cp:coreProperties>
</file>