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8" w:rsidRDefault="004C37F8" w:rsidP="004C37F8">
      <w:pPr>
        <w:widowControl w:val="0"/>
      </w:pPr>
    </w:p>
    <w:p w:rsidR="004C37F8" w:rsidRDefault="004C37F8" w:rsidP="004C37F8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4C37F8" w:rsidRPr="00A97BFB" w:rsidRDefault="004C37F8" w:rsidP="004C37F8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6"/>
      </w:tblGrid>
      <w:tr w:rsidR="004C37F8" w:rsidTr="008B00E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4C37F8" w:rsidRPr="00445623" w:rsidRDefault="004C37F8" w:rsidP="008B00E3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:rsidR="004C37F8" w:rsidRPr="00445623" w:rsidRDefault="004C37F8" w:rsidP="008B00E3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4C37F8" w:rsidRDefault="004C37F8" w:rsidP="008B00E3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Pr="00723F4A">
              <w:rPr>
                <w:b/>
                <w:shd w:val="clear" w:color="auto" w:fill="FFFFFF"/>
              </w:rPr>
              <w:t>Міжнародні стандарти прав людини та практика ЄСПЛ</w:t>
            </w:r>
            <w:r>
              <w:rPr>
                <w:b/>
                <w:shd w:val="clear" w:color="auto" w:fill="FFFFFF"/>
              </w:rPr>
              <w:t>»</w:t>
            </w:r>
          </w:p>
          <w:p w:rsidR="004C37F8" w:rsidRPr="00445623" w:rsidRDefault="004C37F8" w:rsidP="008B00E3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«__________________»</w:t>
            </w:r>
          </w:p>
          <w:p w:rsidR="004C37F8" w:rsidRDefault="004C37F8" w:rsidP="008B00E3">
            <w:pPr>
              <w:jc w:val="center"/>
              <w:rPr>
                <w:b/>
                <w:shd w:val="clear" w:color="auto" w:fill="FFFFFF"/>
              </w:rPr>
            </w:pPr>
          </w:p>
          <w:p w:rsidR="004C37F8" w:rsidRPr="00723F4A" w:rsidRDefault="004C37F8" w:rsidP="008B00E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23F4A">
              <w:rPr>
                <w:b/>
                <w:color w:val="000000"/>
                <w:shd w:val="clear" w:color="auto" w:fill="FFFFFF"/>
              </w:rPr>
              <w:t>Спеціальність: 081 Право</w:t>
            </w:r>
          </w:p>
          <w:p w:rsidR="004C37F8" w:rsidRPr="00DA76CB" w:rsidRDefault="004C37F8" w:rsidP="008B00E3">
            <w:pPr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723F4A">
              <w:rPr>
                <w:b/>
                <w:color w:val="000000"/>
                <w:shd w:val="clear" w:color="auto" w:fill="FFFFFF"/>
              </w:rPr>
              <w:t>Галузь знань: 08 Право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4C37F8" w:rsidRPr="00FC06CB" w:rsidRDefault="004C37F8" w:rsidP="008B00E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946" w:type="dxa"/>
            <w:gridSpan w:val="2"/>
          </w:tcPr>
          <w:p w:rsidR="004C37F8" w:rsidRPr="00DA76CB" w:rsidRDefault="004C37F8" w:rsidP="008B00E3">
            <w:pPr>
              <w:rPr>
                <w:color w:val="000000"/>
                <w:shd w:val="clear" w:color="auto" w:fill="FFFFFF"/>
              </w:rPr>
            </w:pPr>
            <w:r w:rsidRPr="00C22F6F">
              <w:rPr>
                <w:sz w:val="24"/>
                <w:szCs w:val="24"/>
              </w:rPr>
              <w:t>Перший (бакалаврський)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946" w:type="dxa"/>
            <w:gridSpan w:val="2"/>
          </w:tcPr>
          <w:p w:rsidR="004C37F8" w:rsidRPr="00445623" w:rsidRDefault="004C37F8" w:rsidP="008B00E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Навчальна дисципліна обов’язкового компонента ОП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946" w:type="dxa"/>
            <w:gridSpan w:val="2"/>
          </w:tcPr>
          <w:p w:rsidR="004C37F8" w:rsidRDefault="004C37F8" w:rsidP="008B00E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третій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946" w:type="dxa"/>
            <w:gridSpan w:val="2"/>
          </w:tcPr>
          <w:p w:rsidR="004C37F8" w:rsidRPr="00965C65" w:rsidRDefault="004C37F8" w:rsidP="008B00E3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шостий</w:t>
            </w:r>
            <w:proofErr w:type="spellEnd"/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6946" w:type="dxa"/>
            <w:gridSpan w:val="2"/>
          </w:tcPr>
          <w:p w:rsidR="004C37F8" w:rsidRPr="00DA76CB" w:rsidRDefault="004C37F8" w:rsidP="008B00E3">
            <w:pPr>
              <w:jc w:val="both"/>
              <w:rPr>
                <w:color w:val="000000"/>
                <w:shd w:val="clear" w:color="auto" w:fill="FFFFFF"/>
              </w:rPr>
            </w:pPr>
            <w:r w:rsidRPr="00C22F6F">
              <w:rPr>
                <w:sz w:val="24"/>
                <w:szCs w:val="24"/>
                <w:shd w:val="clear" w:color="auto" w:fill="FFFFFF"/>
              </w:rPr>
              <w:t>3 кредити/90 годин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946" w:type="dxa"/>
            <w:gridSpan w:val="2"/>
          </w:tcPr>
          <w:p w:rsidR="004C37F8" w:rsidRPr="00CC0B68" w:rsidRDefault="004C37F8" w:rsidP="008B00E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6946" w:type="dxa"/>
            <w:gridSpan w:val="2"/>
          </w:tcPr>
          <w:p w:rsidR="004C37F8" w:rsidRPr="00CC0B68" w:rsidRDefault="004C37F8" w:rsidP="008B00E3">
            <w:pPr>
              <w:rPr>
                <w:color w:val="000000"/>
                <w:shd w:val="clear" w:color="auto" w:fill="FFFFFF"/>
              </w:rPr>
            </w:pPr>
            <w:r w:rsidRPr="00956106">
              <w:rPr>
                <w:sz w:val="24"/>
                <w:szCs w:val="24"/>
                <w:shd w:val="clear" w:color="auto" w:fill="FFFFFF"/>
              </w:rPr>
              <w:t>Компетентності у сфері прав людини, оволодіння знаннями (поглиблення їх) у відповідній сфері, вироблення та удосконалення необхідних вмінь та навичок, важливих для захисту інтересів громадян України та представництва держави у контексті практики ЄСПЛ та міжнародного права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6946" w:type="dxa"/>
            <w:gridSpan w:val="2"/>
          </w:tcPr>
          <w:p w:rsidR="004C37F8" w:rsidRPr="00CC0B68" w:rsidRDefault="004C37F8" w:rsidP="008B00E3">
            <w:pPr>
              <w:rPr>
                <w:color w:val="000000"/>
                <w:shd w:val="clear" w:color="auto" w:fill="FFFFFF"/>
              </w:rPr>
            </w:pPr>
            <w:r w:rsidRPr="006B6470">
              <w:rPr>
                <w:sz w:val="24"/>
                <w:szCs w:val="24"/>
              </w:rPr>
              <w:t xml:space="preserve">Курс спрямований на розвиток у студентів навичок </w:t>
            </w:r>
            <w:r w:rsidRPr="009C2673">
              <w:rPr>
                <w:sz w:val="24"/>
                <w:szCs w:val="24"/>
              </w:rPr>
              <w:t>професійної діяльності</w:t>
            </w:r>
            <w:r>
              <w:rPr>
                <w:sz w:val="24"/>
                <w:szCs w:val="24"/>
              </w:rPr>
              <w:t xml:space="preserve"> у сфері захисту прав людини в ЄСПЛ та інших міжнародних інституціях, а також навчить </w:t>
            </w:r>
            <w:r w:rsidRPr="009C2673">
              <w:rPr>
                <w:sz w:val="24"/>
                <w:szCs w:val="24"/>
              </w:rPr>
              <w:t>керуватися принципами права при виконанні своїх професійних обов’язків.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946" w:type="dxa"/>
            <w:gridSpan w:val="2"/>
          </w:tcPr>
          <w:p w:rsidR="004C37F8" w:rsidRPr="009C2673" w:rsidRDefault="004C37F8" w:rsidP="008B00E3">
            <w:pPr>
              <w:tabs>
                <w:tab w:val="left" w:pos="211"/>
              </w:tabs>
              <w:ind w:left="7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Розуміння</w:t>
            </w:r>
            <w:r w:rsidRPr="009C2673">
              <w:rPr>
                <w:sz w:val="24"/>
                <w:szCs w:val="24"/>
              </w:rPr>
              <w:t xml:space="preserve">: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основн</w:t>
            </w:r>
            <w:r>
              <w:rPr>
                <w:sz w:val="24"/>
                <w:szCs w:val="24"/>
              </w:rPr>
              <w:t>их</w:t>
            </w:r>
            <w:r w:rsidRPr="009C2673">
              <w:rPr>
                <w:sz w:val="24"/>
                <w:szCs w:val="24"/>
              </w:rPr>
              <w:t xml:space="preserve"> засаднич</w:t>
            </w:r>
            <w:r>
              <w:rPr>
                <w:sz w:val="24"/>
                <w:szCs w:val="24"/>
              </w:rPr>
              <w:t>их</w:t>
            </w:r>
            <w:r w:rsidRPr="009C2673">
              <w:rPr>
                <w:sz w:val="24"/>
                <w:szCs w:val="24"/>
              </w:rPr>
              <w:t xml:space="preserve"> положен</w:t>
            </w:r>
            <w:r>
              <w:rPr>
                <w:sz w:val="24"/>
                <w:szCs w:val="24"/>
              </w:rPr>
              <w:t>ь</w:t>
            </w:r>
            <w:r w:rsidRPr="009C2673">
              <w:rPr>
                <w:sz w:val="24"/>
                <w:szCs w:val="24"/>
              </w:rPr>
              <w:t xml:space="preserve">, що регламентують обстоювання прав людини;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еволюці</w:t>
            </w:r>
            <w:r w:rsidRPr="009C2673">
              <w:rPr>
                <w:rFonts w:eastAsia="Malgun Gothic Semilight"/>
                <w:sz w:val="24"/>
                <w:szCs w:val="24"/>
              </w:rPr>
              <w:t>йне</w:t>
            </w:r>
            <w:r w:rsidRPr="009C2673">
              <w:rPr>
                <w:sz w:val="24"/>
                <w:szCs w:val="24"/>
              </w:rPr>
              <w:t xml:space="preserve"> пі</w:t>
            </w:r>
            <w:r w:rsidRPr="009C2673">
              <w:rPr>
                <w:rFonts w:eastAsia="Malgun Gothic Semilight"/>
                <w:sz w:val="24"/>
                <w:szCs w:val="24"/>
              </w:rPr>
              <w:t>д</w:t>
            </w:r>
            <w:r w:rsidRPr="009C2673">
              <w:rPr>
                <w:sz w:val="24"/>
                <w:szCs w:val="24"/>
              </w:rPr>
              <w:t>ґ</w:t>
            </w:r>
            <w:r w:rsidRPr="009C2673">
              <w:rPr>
                <w:rFonts w:eastAsia="Malgun Gothic Semilight"/>
                <w:sz w:val="24"/>
                <w:szCs w:val="24"/>
              </w:rPr>
              <w:t>рунтя</w:t>
            </w:r>
            <w:r w:rsidRPr="009C2673">
              <w:rPr>
                <w:sz w:val="24"/>
                <w:szCs w:val="24"/>
              </w:rPr>
              <w:t xml:space="preserve"> тієї чи тієї теми;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законодавче пі</w:t>
            </w:r>
            <w:r w:rsidRPr="009C2673">
              <w:rPr>
                <w:rFonts w:eastAsia="Malgun Gothic Semilight"/>
                <w:sz w:val="24"/>
                <w:szCs w:val="24"/>
              </w:rPr>
              <w:t>д</w:t>
            </w:r>
            <w:r w:rsidRPr="009C2673">
              <w:rPr>
                <w:sz w:val="24"/>
                <w:szCs w:val="24"/>
              </w:rPr>
              <w:t>ґ</w:t>
            </w:r>
            <w:r w:rsidRPr="009C2673">
              <w:rPr>
                <w:rFonts w:eastAsia="Malgun Gothic Semilight"/>
                <w:sz w:val="24"/>
                <w:szCs w:val="24"/>
              </w:rPr>
              <w:t>рунтя</w:t>
            </w:r>
            <w:r w:rsidRPr="009C2673">
              <w:rPr>
                <w:sz w:val="24"/>
                <w:szCs w:val="24"/>
              </w:rPr>
              <w:t xml:space="preserve">; етичні норми;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джерела і</w:t>
            </w:r>
            <w:r w:rsidRPr="009C2673">
              <w:rPr>
                <w:rFonts w:eastAsia="Malgun Gothic Semilight"/>
                <w:sz w:val="24"/>
                <w:szCs w:val="24"/>
              </w:rPr>
              <w:t>нформац</w:t>
            </w:r>
            <w:r w:rsidRPr="009C2673">
              <w:rPr>
                <w:sz w:val="24"/>
                <w:szCs w:val="24"/>
              </w:rPr>
              <w:t>ії та норми ї</w:t>
            </w:r>
            <w:r w:rsidRPr="009C2673">
              <w:rPr>
                <w:rFonts w:eastAsia="Malgun Gothic Semilight"/>
                <w:sz w:val="24"/>
                <w:szCs w:val="24"/>
              </w:rPr>
              <w:t>х</w:t>
            </w:r>
            <w:r w:rsidRPr="009C2673">
              <w:rPr>
                <w:sz w:val="24"/>
                <w:szCs w:val="24"/>
              </w:rPr>
              <w:t xml:space="preserve"> переві</w:t>
            </w:r>
            <w:r w:rsidRPr="009C2673">
              <w:rPr>
                <w:rFonts w:eastAsia="Malgun Gothic Semilight"/>
                <w:sz w:val="24"/>
                <w:szCs w:val="24"/>
              </w:rPr>
              <w:t>рки</w:t>
            </w:r>
            <w:r w:rsidRPr="009C2673">
              <w:rPr>
                <w:sz w:val="24"/>
                <w:szCs w:val="24"/>
              </w:rPr>
              <w:t xml:space="preserve">;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спеці</w:t>
            </w:r>
            <w:r w:rsidRPr="009C2673">
              <w:rPr>
                <w:rFonts w:eastAsia="Malgun Gothic Semilight"/>
                <w:sz w:val="24"/>
                <w:szCs w:val="24"/>
              </w:rPr>
              <w:t>альн</w:t>
            </w:r>
            <w:r w:rsidRPr="009C2673">
              <w:rPr>
                <w:sz w:val="24"/>
                <w:szCs w:val="24"/>
              </w:rPr>
              <w:t>і вимоги до роботи з експертами та представниками влади, опонентами і</w:t>
            </w:r>
            <w:r w:rsidRPr="009C2673">
              <w:rPr>
                <w:rFonts w:eastAsia="Malgun Gothic Semilight"/>
                <w:sz w:val="24"/>
                <w:szCs w:val="24"/>
              </w:rPr>
              <w:t>н</w:t>
            </w:r>
            <w:r w:rsidRPr="009C2673">
              <w:rPr>
                <w:sz w:val="24"/>
                <w:szCs w:val="24"/>
              </w:rPr>
              <w:t>клюзивного пі</w:t>
            </w:r>
            <w:r w:rsidRPr="009C2673">
              <w:rPr>
                <w:rFonts w:eastAsia="Malgun Gothic Semilight"/>
                <w:sz w:val="24"/>
                <w:szCs w:val="24"/>
              </w:rPr>
              <w:t>дходу</w:t>
            </w:r>
            <w:r w:rsidRPr="009C2673">
              <w:rPr>
                <w:sz w:val="24"/>
                <w:szCs w:val="24"/>
              </w:rPr>
              <w:t xml:space="preserve"> й правозахисниками.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</w:t>
            </w:r>
            <w:r w:rsidRPr="009C2673">
              <w:rPr>
                <w:sz w:val="24"/>
                <w:szCs w:val="24"/>
              </w:rPr>
              <w:t xml:space="preserve">: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ві</w:t>
            </w:r>
            <w:r w:rsidRPr="009C2673">
              <w:rPr>
                <w:rFonts w:eastAsia="Malgun Gothic Semilight"/>
                <w:sz w:val="24"/>
                <w:szCs w:val="24"/>
              </w:rPr>
              <w:t>льно</w:t>
            </w:r>
            <w:r w:rsidRPr="009C2673">
              <w:rPr>
                <w:sz w:val="24"/>
                <w:szCs w:val="24"/>
              </w:rPr>
              <w:t xml:space="preserve"> оперувати принципами й методами роботи пі</w:t>
            </w:r>
            <w:r w:rsidRPr="009C2673">
              <w:rPr>
                <w:rFonts w:eastAsia="Malgun Gothic Semilight"/>
                <w:sz w:val="24"/>
                <w:szCs w:val="24"/>
              </w:rPr>
              <w:t>д</w:t>
            </w:r>
            <w:r w:rsidRPr="009C2673">
              <w:rPr>
                <w:sz w:val="24"/>
                <w:szCs w:val="24"/>
              </w:rPr>
              <w:t xml:space="preserve"> час захисту прав людини;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володі</w:t>
            </w:r>
            <w:r w:rsidRPr="009C2673">
              <w:rPr>
                <w:rFonts w:eastAsia="Malgun Gothic Semilight"/>
                <w:sz w:val="24"/>
                <w:szCs w:val="24"/>
              </w:rPr>
              <w:t>ти</w:t>
            </w:r>
            <w:r w:rsidRPr="009C2673">
              <w:rPr>
                <w:sz w:val="24"/>
                <w:szCs w:val="24"/>
              </w:rPr>
              <w:t xml:space="preserve"> фактичним матері</w:t>
            </w:r>
            <w:r w:rsidRPr="009C2673">
              <w:rPr>
                <w:rFonts w:eastAsia="Malgun Gothic Semilight"/>
                <w:sz w:val="24"/>
                <w:szCs w:val="24"/>
              </w:rPr>
              <w:t>алом</w:t>
            </w:r>
            <w:r w:rsidRPr="009C2673">
              <w:rPr>
                <w:sz w:val="24"/>
                <w:szCs w:val="24"/>
              </w:rPr>
              <w:t xml:space="preserve">;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виконувати тематичний моні</w:t>
            </w:r>
            <w:r w:rsidRPr="009C2673">
              <w:rPr>
                <w:rFonts w:eastAsia="Malgun Gothic Semilight"/>
                <w:sz w:val="24"/>
                <w:szCs w:val="24"/>
              </w:rPr>
              <w:t>торинг</w:t>
            </w:r>
            <w:r w:rsidRPr="009C2673">
              <w:rPr>
                <w:sz w:val="24"/>
                <w:szCs w:val="24"/>
              </w:rPr>
              <w:t xml:space="preserve">;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вести пошук і</w:t>
            </w:r>
            <w:r w:rsidRPr="009C2673">
              <w:rPr>
                <w:rFonts w:eastAsia="Malgun Gothic Semilight"/>
                <w:sz w:val="24"/>
                <w:szCs w:val="24"/>
              </w:rPr>
              <w:t>нформац</w:t>
            </w:r>
            <w:r w:rsidRPr="009C2673">
              <w:rPr>
                <w:sz w:val="24"/>
                <w:szCs w:val="24"/>
              </w:rPr>
              <w:t xml:space="preserve">ії в </w:t>
            </w:r>
            <w:proofErr w:type="spellStart"/>
            <w:r w:rsidRPr="009C2673">
              <w:rPr>
                <w:sz w:val="24"/>
                <w:szCs w:val="24"/>
              </w:rPr>
              <w:t>і</w:t>
            </w:r>
            <w:r w:rsidRPr="009C2673">
              <w:rPr>
                <w:rFonts w:eastAsia="Malgun Gothic Semilight"/>
                <w:sz w:val="24"/>
                <w:szCs w:val="24"/>
              </w:rPr>
              <w:t>нтернет</w:t>
            </w:r>
            <w:r w:rsidRPr="009C2673">
              <w:rPr>
                <w:sz w:val="24"/>
                <w:szCs w:val="24"/>
              </w:rPr>
              <w:t>і</w:t>
            </w:r>
            <w:proofErr w:type="spellEnd"/>
            <w:r w:rsidRPr="009C2673">
              <w:rPr>
                <w:sz w:val="24"/>
                <w:szCs w:val="24"/>
              </w:rPr>
              <w:t xml:space="preserve">; 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уживати спеці</w:t>
            </w:r>
            <w:r w:rsidRPr="009C2673">
              <w:rPr>
                <w:rFonts w:eastAsia="Malgun Gothic Semilight"/>
                <w:sz w:val="24"/>
                <w:szCs w:val="24"/>
              </w:rPr>
              <w:t>альну</w:t>
            </w:r>
            <w:r w:rsidRPr="009C2673">
              <w:rPr>
                <w:sz w:val="24"/>
                <w:szCs w:val="24"/>
              </w:rPr>
              <w:t xml:space="preserve"> термі</w:t>
            </w:r>
            <w:r w:rsidRPr="009C2673">
              <w:rPr>
                <w:rFonts w:eastAsia="Malgun Gothic Semilight"/>
                <w:sz w:val="24"/>
                <w:szCs w:val="24"/>
              </w:rPr>
              <w:t>нолог</w:t>
            </w:r>
            <w:r w:rsidRPr="009C2673">
              <w:rPr>
                <w:sz w:val="24"/>
                <w:szCs w:val="24"/>
              </w:rPr>
              <w:t>і</w:t>
            </w:r>
            <w:r w:rsidRPr="009C2673">
              <w:rPr>
                <w:rFonts w:eastAsia="Malgun Gothic Semilight"/>
                <w:sz w:val="24"/>
                <w:szCs w:val="24"/>
              </w:rPr>
              <w:t>ю</w:t>
            </w:r>
            <w:r w:rsidRPr="009C2673">
              <w:rPr>
                <w:sz w:val="24"/>
                <w:szCs w:val="24"/>
              </w:rPr>
              <w:t>, практично використовувати її;</w:t>
            </w:r>
          </w:p>
          <w:p w:rsidR="004C37F8" w:rsidRPr="009C2673" w:rsidRDefault="004C37F8" w:rsidP="008B00E3">
            <w:pPr>
              <w:tabs>
                <w:tab w:val="left" w:pos="211"/>
              </w:tabs>
              <w:ind w:left="-135"/>
              <w:jc w:val="both"/>
              <w:rPr>
                <w:sz w:val="24"/>
                <w:szCs w:val="24"/>
              </w:rPr>
            </w:pPr>
            <w:r w:rsidRPr="009C2673">
              <w:rPr>
                <w:sz w:val="24"/>
                <w:szCs w:val="24"/>
              </w:rPr>
              <w:t></w:t>
            </w:r>
            <w:r w:rsidRPr="009C2673">
              <w:rPr>
                <w:sz w:val="24"/>
                <w:szCs w:val="24"/>
              </w:rPr>
              <w:tab/>
              <w:t>взає</w:t>
            </w:r>
            <w:r w:rsidRPr="009C2673">
              <w:rPr>
                <w:rFonts w:eastAsia="Malgun Gothic Semilight"/>
                <w:sz w:val="24"/>
                <w:szCs w:val="24"/>
              </w:rPr>
              <w:t>мод</w:t>
            </w:r>
            <w:r w:rsidRPr="009C2673">
              <w:rPr>
                <w:sz w:val="24"/>
                <w:szCs w:val="24"/>
              </w:rPr>
              <w:t>і</w:t>
            </w:r>
            <w:r w:rsidRPr="009C2673">
              <w:rPr>
                <w:rFonts w:eastAsia="Malgun Gothic Semilight"/>
                <w:sz w:val="24"/>
                <w:szCs w:val="24"/>
              </w:rPr>
              <w:t>яти</w:t>
            </w:r>
            <w:r w:rsidRPr="009C2673">
              <w:rPr>
                <w:sz w:val="24"/>
                <w:szCs w:val="24"/>
              </w:rPr>
              <w:t xml:space="preserve"> з експертами та представниками влади, опонентами й правозахисниками; формувати власне бачення проблем, шляхи ї</w:t>
            </w:r>
            <w:r w:rsidRPr="009C2673">
              <w:rPr>
                <w:rFonts w:eastAsia="Malgun Gothic Semilight"/>
                <w:sz w:val="24"/>
                <w:szCs w:val="24"/>
              </w:rPr>
              <w:t>х</w:t>
            </w:r>
            <w:r w:rsidRPr="009C2673">
              <w:rPr>
                <w:sz w:val="24"/>
                <w:szCs w:val="24"/>
              </w:rPr>
              <w:t xml:space="preserve"> розв’язання.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946" w:type="dxa"/>
            <w:gridSpan w:val="2"/>
          </w:tcPr>
          <w:p w:rsidR="004C37F8" w:rsidRPr="00A53E02" w:rsidRDefault="004C37F8" w:rsidP="008B00E3">
            <w:pPr>
              <w:jc w:val="both"/>
              <w:rPr>
                <w:sz w:val="24"/>
                <w:szCs w:val="24"/>
              </w:rPr>
            </w:pPr>
            <w:r w:rsidRPr="00A53E02">
              <w:rPr>
                <w:sz w:val="24"/>
                <w:szCs w:val="24"/>
              </w:rPr>
              <w:t>У результаті вивчення навчальної дисципліни студент повинен набути наступні компетентності:</w:t>
            </w:r>
          </w:p>
          <w:p w:rsidR="004C37F8" w:rsidRPr="00A53E02" w:rsidRDefault="004C37F8" w:rsidP="008B00E3">
            <w:pPr>
              <w:jc w:val="both"/>
              <w:rPr>
                <w:sz w:val="24"/>
                <w:szCs w:val="24"/>
              </w:rPr>
            </w:pPr>
            <w:r w:rsidRPr="00A53E02">
              <w:rPr>
                <w:sz w:val="24"/>
                <w:szCs w:val="24"/>
              </w:rPr>
              <w:lastRenderedPageBreak/>
              <w:t>–</w:t>
            </w:r>
            <w:r w:rsidRPr="00A53E02">
              <w:rPr>
                <w:sz w:val="24"/>
                <w:szCs w:val="24"/>
              </w:rPr>
              <w:tab/>
              <w:t>знання та розуміння предметної області та розуміння професійної діяльності;</w:t>
            </w:r>
          </w:p>
          <w:p w:rsidR="004C37F8" w:rsidRPr="00A53E02" w:rsidRDefault="004C37F8" w:rsidP="008B00E3">
            <w:pPr>
              <w:jc w:val="both"/>
              <w:rPr>
                <w:sz w:val="24"/>
                <w:szCs w:val="24"/>
              </w:rPr>
            </w:pPr>
            <w:r w:rsidRPr="00A53E02">
              <w:rPr>
                <w:sz w:val="24"/>
                <w:szCs w:val="24"/>
              </w:rPr>
              <w:t>–</w:t>
            </w:r>
            <w:r w:rsidRPr="00A53E02">
              <w:rPr>
                <w:sz w:val="24"/>
                <w:szCs w:val="24"/>
              </w:rPr>
              <w:tab/>
              <w:t>орієнтуватися у законодавстві та спеціальній літературі;</w:t>
            </w:r>
          </w:p>
          <w:p w:rsidR="004C37F8" w:rsidRPr="00A53E02" w:rsidRDefault="004C37F8" w:rsidP="008B00E3">
            <w:pPr>
              <w:jc w:val="both"/>
              <w:rPr>
                <w:sz w:val="24"/>
                <w:szCs w:val="24"/>
              </w:rPr>
            </w:pPr>
            <w:r w:rsidRPr="00A53E02">
              <w:rPr>
                <w:sz w:val="24"/>
                <w:szCs w:val="24"/>
              </w:rPr>
              <w:t>–</w:t>
            </w:r>
            <w:r w:rsidRPr="00A53E02">
              <w:rPr>
                <w:sz w:val="24"/>
                <w:szCs w:val="24"/>
              </w:rPr>
              <w:tab/>
              <w:t>порівнювати національне законодавство з міжнародними стандартами;</w:t>
            </w:r>
          </w:p>
          <w:p w:rsidR="004C37F8" w:rsidRPr="00CC09C1" w:rsidRDefault="004C37F8" w:rsidP="008B00E3">
            <w:pPr>
              <w:rPr>
                <w:color w:val="000000"/>
                <w:shd w:val="clear" w:color="auto" w:fill="FFFFFF"/>
              </w:rPr>
            </w:pPr>
            <w:r w:rsidRPr="00A53E02">
              <w:rPr>
                <w:sz w:val="24"/>
                <w:szCs w:val="24"/>
              </w:rPr>
              <w:t>–</w:t>
            </w:r>
            <w:r w:rsidRPr="00A53E02">
              <w:rPr>
                <w:sz w:val="24"/>
                <w:szCs w:val="24"/>
              </w:rPr>
              <w:tab/>
              <w:t>керуватися принципами права при виконанні своїх професійних обов’язків.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6946" w:type="dxa"/>
            <w:gridSpan w:val="2"/>
          </w:tcPr>
          <w:p w:rsidR="004C37F8" w:rsidRPr="00100761" w:rsidRDefault="004C37F8" w:rsidP="008B00E3">
            <w:pPr>
              <w:jc w:val="both"/>
              <w:rPr>
                <w:bCs/>
                <w:sz w:val="24"/>
                <w:szCs w:val="24"/>
              </w:rPr>
            </w:pPr>
            <w:r w:rsidRPr="00C22F6F">
              <w:rPr>
                <w:b/>
                <w:bCs/>
                <w:sz w:val="24"/>
                <w:szCs w:val="24"/>
              </w:rPr>
              <w:t xml:space="preserve">Зміст дисципліни: </w:t>
            </w:r>
            <w:r w:rsidRPr="00100761">
              <w:rPr>
                <w:bCs/>
                <w:sz w:val="24"/>
                <w:szCs w:val="24"/>
              </w:rPr>
              <w:t>Поняття, природа та сутність прав людини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Міжнародне право прав людини та міжнародний захист прав людини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Міжнародні механізми і процедури органів ООН з додержання прав людини й основних свобод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Загальна декларація прав людини 1948 р. її юридична природа та нормативний зміст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Права людини та міжнародно-правові механізми їх захисту у МПГПП та МПЕСКП 1966 р.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Конвенції ООН з прав людини із власними організаційно-правовими механізми контролю за їх здійсненням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Колективні права та їх захист в універсальному міжнародному праві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Європейська та міжнародна система захисту прав людини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Європейський суд з прав людини: загальна характеристика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Право на життя та заборона катування, нелюдського або такого, що принижує гідність, поводження та покарання у практиці Європейського суду з прав людини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Право на свободу та особисту недоторканність у практи</w:t>
            </w:r>
            <w:r>
              <w:rPr>
                <w:bCs/>
                <w:sz w:val="24"/>
                <w:szCs w:val="24"/>
              </w:rPr>
              <w:t>ці Європейського суду з прав лю</w:t>
            </w:r>
            <w:r w:rsidRPr="00100761">
              <w:rPr>
                <w:bCs/>
                <w:sz w:val="24"/>
                <w:szCs w:val="24"/>
              </w:rPr>
              <w:t>дини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Право на справедливий судовий розгляд та право на ефективний засіб юридичного захисту у практиці Європейського суду з прав людини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Право на повагу до особистого й сімейного життя та заборона дискримінації у практиці Європейського суду з прав людини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Свобода віросповідання та свобода вираження поглядів у практиці Європейського суду з прав людини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100761">
              <w:rPr>
                <w:bCs/>
                <w:sz w:val="24"/>
                <w:szCs w:val="24"/>
              </w:rPr>
              <w:t>Практика застосування Європейським судом з прав людини інших статей Конвенції про захист прав людини і основоположних свобод та протоколів до неї</w:t>
            </w:r>
          </w:p>
          <w:p w:rsidR="004C37F8" w:rsidRPr="006B6470" w:rsidRDefault="004C37F8" w:rsidP="008B00E3">
            <w:pPr>
              <w:rPr>
                <w:b/>
                <w:bCs/>
                <w:sz w:val="24"/>
                <w:szCs w:val="24"/>
              </w:rPr>
            </w:pPr>
            <w:r w:rsidRPr="006B6470">
              <w:rPr>
                <w:b/>
                <w:bCs/>
                <w:sz w:val="24"/>
                <w:szCs w:val="24"/>
              </w:rPr>
              <w:t>Види занять:</w:t>
            </w:r>
            <w:r>
              <w:t xml:space="preserve"> </w:t>
            </w:r>
            <w:r w:rsidRPr="006B6470">
              <w:rPr>
                <w:bCs/>
                <w:sz w:val="24"/>
                <w:szCs w:val="24"/>
              </w:rPr>
              <w:t>лекції, семінарські</w:t>
            </w:r>
          </w:p>
          <w:p w:rsidR="004C37F8" w:rsidRPr="006B6470" w:rsidRDefault="004C37F8" w:rsidP="008B00E3">
            <w:pPr>
              <w:rPr>
                <w:bCs/>
                <w:sz w:val="24"/>
                <w:szCs w:val="24"/>
              </w:rPr>
            </w:pPr>
            <w:r w:rsidRPr="006B6470">
              <w:rPr>
                <w:b/>
                <w:bCs/>
                <w:sz w:val="24"/>
                <w:szCs w:val="24"/>
              </w:rPr>
              <w:t xml:space="preserve">Методи навчання: </w:t>
            </w:r>
            <w:r w:rsidRPr="006B6470">
              <w:rPr>
                <w:bCs/>
                <w:sz w:val="24"/>
                <w:szCs w:val="24"/>
              </w:rPr>
              <w:t xml:space="preserve">навчальна дискусія, </w:t>
            </w:r>
            <w:proofErr w:type="spellStart"/>
            <w:r w:rsidRPr="006B6470">
              <w:rPr>
                <w:bCs/>
                <w:sz w:val="24"/>
                <w:szCs w:val="24"/>
              </w:rPr>
              <w:t>онлайн</w:t>
            </w:r>
            <w:proofErr w:type="spellEnd"/>
          </w:p>
          <w:p w:rsidR="004C37F8" w:rsidRPr="00765C43" w:rsidRDefault="004C37F8" w:rsidP="008B00E3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445623">
              <w:rPr>
                <w:b/>
              </w:rPr>
              <w:t>Форми навчання: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lang w:val="ru-RU"/>
              </w:rPr>
              <w:t>очна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заочна</w:t>
            </w:r>
            <w:proofErr w:type="spellEnd"/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6946" w:type="dxa"/>
            <w:gridSpan w:val="2"/>
          </w:tcPr>
          <w:p w:rsidR="004C37F8" w:rsidRPr="00723F4A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0626B9">
              <w:rPr>
                <w:sz w:val="24"/>
                <w:szCs w:val="24"/>
              </w:rPr>
              <w:t>Навчальна дисципліна базується на знаннях таких дисциплін, як: «Конституційне право України», «Основи права ЄС»,  «Міжнародне публічне право» та галузеві юридичні дисципліни.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946" w:type="dxa"/>
            <w:gridSpan w:val="2"/>
          </w:tcPr>
          <w:p w:rsidR="004C37F8" w:rsidRPr="00C22F6F" w:rsidRDefault="004C37F8" w:rsidP="008B00E3">
            <w:pPr>
              <w:pStyle w:val="Default"/>
              <w:jc w:val="both"/>
            </w:pPr>
            <w:proofErr w:type="spellStart"/>
            <w:r w:rsidRPr="00AD7225">
              <w:t>Знання</w:t>
            </w:r>
            <w:proofErr w:type="spellEnd"/>
            <w:r w:rsidRPr="00AD7225">
              <w:t xml:space="preserve"> </w:t>
            </w:r>
            <w:proofErr w:type="spellStart"/>
            <w:r w:rsidRPr="00AD7225">
              <w:t>можуть</w:t>
            </w:r>
            <w:proofErr w:type="spellEnd"/>
            <w:r w:rsidRPr="00AD7225">
              <w:t xml:space="preserve"> бути </w:t>
            </w:r>
            <w:proofErr w:type="spellStart"/>
            <w:r w:rsidRPr="00AD7225">
              <w:t>використані</w:t>
            </w:r>
            <w:proofErr w:type="spellEnd"/>
            <w:r w:rsidRPr="00AD7225">
              <w:t xml:space="preserve"> </w:t>
            </w:r>
            <w:proofErr w:type="spellStart"/>
            <w:proofErr w:type="gramStart"/>
            <w:r w:rsidRPr="00AD7225">
              <w:t>п</w:t>
            </w:r>
            <w:proofErr w:type="gramEnd"/>
            <w:r w:rsidRPr="00AD7225">
              <w:t>ід</w:t>
            </w:r>
            <w:proofErr w:type="spellEnd"/>
            <w:r w:rsidRPr="00AD7225">
              <w:t xml:space="preserve"> час </w:t>
            </w:r>
            <w:proofErr w:type="spellStart"/>
            <w:r w:rsidRPr="00AD7225">
              <w:t>написання</w:t>
            </w:r>
            <w:proofErr w:type="spellEnd"/>
            <w:r w:rsidRPr="00AD7225">
              <w:t xml:space="preserve"> </w:t>
            </w:r>
            <w:proofErr w:type="spellStart"/>
            <w:r w:rsidRPr="00AD7225">
              <w:t>магістерської</w:t>
            </w:r>
            <w:proofErr w:type="spellEnd"/>
            <w:r w:rsidRPr="00AD7225">
              <w:t xml:space="preserve"> </w:t>
            </w:r>
            <w:proofErr w:type="spellStart"/>
            <w:r w:rsidRPr="00AD7225">
              <w:t>роботи</w:t>
            </w:r>
            <w:proofErr w:type="spellEnd"/>
            <w:r w:rsidRPr="00AD7225">
              <w:t xml:space="preserve"> </w:t>
            </w:r>
            <w:r>
              <w:rPr>
                <w:lang w:val="uk-UA"/>
              </w:rPr>
              <w:t>та є складовою єдиного вступного фахового випробовування при вступі на магістратуру.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4C37F8" w:rsidRPr="00445623" w:rsidRDefault="004C37F8" w:rsidP="008B00E3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6946" w:type="dxa"/>
            <w:gridSpan w:val="2"/>
          </w:tcPr>
          <w:p w:rsidR="004C37F8" w:rsidRPr="00FC06CB" w:rsidRDefault="004C37F8" w:rsidP="008B00E3">
            <w:pPr>
              <w:jc w:val="both"/>
              <w:rPr>
                <w:b/>
                <w:iCs/>
                <w:color w:val="0000FF"/>
              </w:rPr>
            </w:pPr>
            <w:proofErr w:type="spellStart"/>
            <w:r w:rsidRPr="00EC044A">
              <w:rPr>
                <w:b/>
                <w:i/>
                <w:iCs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EC044A">
              <w:rPr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НАУ:</w:t>
            </w:r>
            <w:r w:rsidRPr="00EC044A">
              <w:rPr>
                <w:i/>
                <w:iCs/>
                <w:sz w:val="24"/>
                <w:szCs w:val="24"/>
                <w:shd w:val="clear" w:color="auto" w:fill="FFFFFF"/>
              </w:rPr>
              <w:t xml:space="preserve"> Посилання на вкладені в </w:t>
            </w:r>
            <w:proofErr w:type="spellStart"/>
            <w:r w:rsidRPr="00EC044A">
              <w:rPr>
                <w:i/>
                <w:iCs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EC044A">
              <w:rPr>
                <w:i/>
                <w:iCs/>
                <w:sz w:val="24"/>
                <w:szCs w:val="24"/>
                <w:shd w:val="clear" w:color="auto" w:fill="FFFFFF"/>
              </w:rPr>
              <w:t xml:space="preserve"> авторські конспект лекцій, методичні рекомендації, які пройшли процедуру затвердження на ВР факультету або на ВР Університету, а також наукові статті, дисертація, тощо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r w:rsidRPr="00445623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6946" w:type="dxa"/>
            <w:gridSpan w:val="2"/>
          </w:tcPr>
          <w:p w:rsidR="004C37F8" w:rsidRPr="006B6470" w:rsidRDefault="004C37F8" w:rsidP="008B00E3">
            <w:pPr>
              <w:rPr>
                <w:sz w:val="24"/>
                <w:szCs w:val="24"/>
              </w:rPr>
            </w:pPr>
            <w:r w:rsidRPr="006B6470">
              <w:rPr>
                <w:sz w:val="24"/>
                <w:szCs w:val="24"/>
              </w:rPr>
              <w:t>Аудиторія теоретичного навчання,</w:t>
            </w:r>
          </w:p>
          <w:p w:rsidR="004C37F8" w:rsidRPr="000337CE" w:rsidRDefault="004C37F8" w:rsidP="008B00E3">
            <w:r w:rsidRPr="006B6470">
              <w:rPr>
                <w:sz w:val="24"/>
                <w:szCs w:val="24"/>
              </w:rPr>
              <w:t>проектор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r w:rsidRPr="00445623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946" w:type="dxa"/>
            <w:gridSpan w:val="2"/>
          </w:tcPr>
          <w:p w:rsidR="004C37F8" w:rsidRPr="000337CE" w:rsidRDefault="004C37F8" w:rsidP="008B00E3">
            <w:pPr>
              <w:rPr>
                <w:color w:val="000000"/>
                <w:shd w:val="clear" w:color="auto" w:fill="FFFFFF"/>
              </w:rPr>
            </w:pPr>
            <w:r w:rsidRPr="006B6470">
              <w:rPr>
                <w:sz w:val="24"/>
                <w:szCs w:val="24"/>
              </w:rPr>
              <w:t>Залік, тестування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946" w:type="dxa"/>
            <w:gridSpan w:val="2"/>
          </w:tcPr>
          <w:p w:rsidR="004C37F8" w:rsidRPr="006B6470" w:rsidRDefault="004C37F8" w:rsidP="008B00E3">
            <w:pPr>
              <w:rPr>
                <w:sz w:val="24"/>
                <w:szCs w:val="24"/>
              </w:rPr>
            </w:pPr>
            <w:r w:rsidRPr="006B6470">
              <w:rPr>
                <w:sz w:val="24"/>
                <w:szCs w:val="24"/>
              </w:rPr>
              <w:t>Конституційного і адміністративного права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Факультет</w:t>
            </w:r>
          </w:p>
        </w:tc>
        <w:tc>
          <w:tcPr>
            <w:tcW w:w="6946" w:type="dxa"/>
            <w:gridSpan w:val="2"/>
          </w:tcPr>
          <w:p w:rsidR="004C37F8" w:rsidRPr="006B6470" w:rsidRDefault="004C37F8" w:rsidP="008B00E3">
            <w:pPr>
              <w:rPr>
                <w:sz w:val="24"/>
                <w:szCs w:val="24"/>
              </w:rPr>
            </w:pPr>
            <w:r w:rsidRPr="006B6470">
              <w:rPr>
                <w:sz w:val="24"/>
                <w:szCs w:val="24"/>
              </w:rPr>
              <w:t>Юридичний факультет</w:t>
            </w:r>
          </w:p>
        </w:tc>
      </w:tr>
      <w:tr w:rsidR="004C37F8" w:rsidTr="008B00E3">
        <w:trPr>
          <w:trHeight w:val="1959"/>
        </w:trPr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3260" w:type="dxa"/>
          </w:tcPr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71675" cy="2990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C37F8" w:rsidRPr="006B6470" w:rsidRDefault="004C37F8" w:rsidP="008B00E3">
            <w:pPr>
              <w:rPr>
                <w:b/>
                <w:bCs/>
                <w:sz w:val="24"/>
                <w:szCs w:val="24"/>
              </w:rPr>
            </w:pPr>
            <w:r w:rsidRPr="006B6470">
              <w:rPr>
                <w:b/>
                <w:bCs/>
                <w:sz w:val="24"/>
                <w:szCs w:val="24"/>
              </w:rPr>
              <w:t>ДЕЙ МАРИНА ОЛЕКСАНДРІВНА</w:t>
            </w:r>
          </w:p>
          <w:p w:rsidR="004C37F8" w:rsidRPr="006B6470" w:rsidRDefault="004C37F8" w:rsidP="008B00E3">
            <w:pPr>
              <w:rPr>
                <w:b/>
                <w:bCs/>
                <w:sz w:val="24"/>
                <w:szCs w:val="24"/>
              </w:rPr>
            </w:pPr>
            <w:r w:rsidRPr="006B6470">
              <w:rPr>
                <w:b/>
                <w:bCs/>
                <w:sz w:val="24"/>
                <w:szCs w:val="24"/>
              </w:rPr>
              <w:t>Посада: доцент</w:t>
            </w:r>
          </w:p>
          <w:p w:rsidR="004C37F8" w:rsidRPr="006B6470" w:rsidRDefault="004C37F8" w:rsidP="008B00E3">
            <w:pPr>
              <w:rPr>
                <w:b/>
                <w:bCs/>
                <w:sz w:val="24"/>
                <w:szCs w:val="24"/>
              </w:rPr>
            </w:pPr>
            <w:r w:rsidRPr="006B6470">
              <w:rPr>
                <w:b/>
                <w:bCs/>
                <w:sz w:val="24"/>
                <w:szCs w:val="24"/>
              </w:rPr>
              <w:t>Науковий ступінь: кандидат юридичних наук</w:t>
            </w:r>
          </w:p>
          <w:p w:rsidR="004C37F8" w:rsidRPr="006B6470" w:rsidRDefault="004C37F8" w:rsidP="008B00E3">
            <w:pPr>
              <w:rPr>
                <w:b/>
                <w:bCs/>
                <w:sz w:val="24"/>
                <w:szCs w:val="24"/>
              </w:rPr>
            </w:pPr>
            <w:r w:rsidRPr="006B6470">
              <w:rPr>
                <w:b/>
                <w:bCs/>
                <w:sz w:val="24"/>
                <w:szCs w:val="24"/>
              </w:rPr>
              <w:t>Вчене звання: доцент</w:t>
            </w:r>
          </w:p>
          <w:p w:rsidR="004C37F8" w:rsidRPr="006B6470" w:rsidRDefault="004C37F8" w:rsidP="008B00E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B6470">
              <w:rPr>
                <w:b/>
                <w:bCs/>
                <w:sz w:val="24"/>
                <w:szCs w:val="24"/>
              </w:rPr>
              <w:t>Профайл</w:t>
            </w:r>
            <w:proofErr w:type="spellEnd"/>
            <w:r w:rsidRPr="006B6470">
              <w:rPr>
                <w:b/>
                <w:bCs/>
                <w:sz w:val="24"/>
                <w:szCs w:val="24"/>
              </w:rPr>
              <w:t xml:space="preserve"> викладача:</w:t>
            </w:r>
          </w:p>
          <w:p w:rsidR="004C37F8" w:rsidRPr="006B6470" w:rsidRDefault="004C37F8" w:rsidP="008B00E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B6470">
              <w:rPr>
                <w:b/>
                <w:bCs/>
                <w:sz w:val="24"/>
                <w:szCs w:val="24"/>
              </w:rPr>
              <w:t>Тел</w:t>
            </w:r>
            <w:proofErr w:type="spellEnd"/>
            <w:r w:rsidRPr="006B6470">
              <w:rPr>
                <w:b/>
                <w:bCs/>
                <w:sz w:val="24"/>
                <w:szCs w:val="24"/>
                <w:lang w:val="en-US"/>
              </w:rPr>
              <w:t xml:space="preserve">.: </w:t>
            </w:r>
            <w:r w:rsidRPr="006B6470">
              <w:rPr>
                <w:b/>
                <w:bCs/>
                <w:sz w:val="24"/>
                <w:szCs w:val="24"/>
              </w:rPr>
              <w:t>+380677685264</w:t>
            </w:r>
          </w:p>
          <w:p w:rsidR="004C37F8" w:rsidRPr="006B6470" w:rsidRDefault="004C37F8" w:rsidP="008B00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B6470">
              <w:rPr>
                <w:b/>
                <w:bCs/>
                <w:sz w:val="24"/>
                <w:szCs w:val="24"/>
                <w:lang w:val="en-US"/>
              </w:rPr>
              <w:t>E-mail: maryna.dei@npp.nau.edu.ua</w:t>
            </w:r>
          </w:p>
          <w:p w:rsidR="004C37F8" w:rsidRPr="00445623" w:rsidRDefault="004C37F8" w:rsidP="008B00E3">
            <w:pPr>
              <w:rPr>
                <w:b/>
                <w:color w:val="000000"/>
                <w:shd w:val="clear" w:color="auto" w:fill="FFFFFF"/>
              </w:rPr>
            </w:pPr>
            <w:r w:rsidRPr="006B6470">
              <w:rPr>
                <w:b/>
                <w:bCs/>
                <w:sz w:val="24"/>
                <w:szCs w:val="24"/>
              </w:rPr>
              <w:t>Робоче</w:t>
            </w:r>
            <w:r w:rsidRPr="006B647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B6470">
              <w:rPr>
                <w:b/>
                <w:bCs/>
                <w:sz w:val="24"/>
                <w:szCs w:val="24"/>
              </w:rPr>
              <w:t>місце</w:t>
            </w:r>
            <w:r w:rsidRPr="006B6470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B6470">
              <w:rPr>
                <w:b/>
                <w:bCs/>
                <w:sz w:val="24"/>
                <w:szCs w:val="24"/>
              </w:rPr>
              <w:t xml:space="preserve"> 1.437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6946" w:type="dxa"/>
            <w:gridSpan w:val="2"/>
          </w:tcPr>
          <w:p w:rsidR="004C37F8" w:rsidRPr="006B6470" w:rsidRDefault="004C37F8" w:rsidP="008B00E3">
            <w:pPr>
              <w:rPr>
                <w:sz w:val="24"/>
                <w:szCs w:val="24"/>
              </w:rPr>
            </w:pPr>
            <w:r w:rsidRPr="006B6470">
              <w:rPr>
                <w:sz w:val="24"/>
                <w:szCs w:val="24"/>
              </w:rPr>
              <w:t>Авторський курс</w:t>
            </w:r>
          </w:p>
        </w:tc>
      </w:tr>
      <w:tr w:rsidR="004C37F8" w:rsidTr="008B00E3">
        <w:tc>
          <w:tcPr>
            <w:tcW w:w="3261" w:type="dxa"/>
            <w:shd w:val="clear" w:color="auto" w:fill="FFFFFF"/>
          </w:tcPr>
          <w:p w:rsidR="004C37F8" w:rsidRPr="00445623" w:rsidRDefault="004C37F8" w:rsidP="008B00E3">
            <w:pPr>
              <w:rPr>
                <w:b/>
              </w:rPr>
            </w:pPr>
            <w:proofErr w:type="spellStart"/>
            <w:r w:rsidRPr="00445623">
              <w:rPr>
                <w:b/>
              </w:rPr>
              <w:t>Лінк</w:t>
            </w:r>
            <w:proofErr w:type="spellEnd"/>
            <w:r w:rsidRPr="00445623">
              <w:rPr>
                <w:b/>
              </w:rPr>
              <w:t xml:space="preserve"> на дисципліну</w:t>
            </w:r>
          </w:p>
        </w:tc>
        <w:tc>
          <w:tcPr>
            <w:tcW w:w="6946" w:type="dxa"/>
            <w:gridSpan w:val="2"/>
          </w:tcPr>
          <w:p w:rsidR="004C37F8" w:rsidRPr="00222203" w:rsidRDefault="00EC7F53" w:rsidP="008B00E3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4C37F8" w:rsidRPr="00090FD6">
                <w:rPr>
                  <w:rStyle w:val="a3"/>
                  <w:sz w:val="24"/>
                  <w:szCs w:val="24"/>
                </w:rPr>
                <w:t>https://classroom.google.com/u/5/c/MTA3MjU1MDMzNzUz</w:t>
              </w:r>
            </w:hyperlink>
            <w:r w:rsidR="004C37F8">
              <w:rPr>
                <w:sz w:val="24"/>
                <w:szCs w:val="24"/>
              </w:rPr>
              <w:t xml:space="preserve"> </w:t>
            </w:r>
          </w:p>
        </w:tc>
      </w:tr>
    </w:tbl>
    <w:p w:rsidR="00AE3401" w:rsidRDefault="00AE3401"/>
    <w:sectPr w:rsidR="00AE3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53" w:rsidRDefault="00EC7F53" w:rsidP="00AF625C">
      <w:r>
        <w:separator/>
      </w:r>
    </w:p>
  </w:endnote>
  <w:endnote w:type="continuationSeparator" w:id="0">
    <w:p w:rsidR="00EC7F53" w:rsidRDefault="00EC7F53" w:rsidP="00AF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5C" w:rsidRDefault="00AF62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5C" w:rsidRDefault="00AF62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5C" w:rsidRDefault="00AF62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53" w:rsidRDefault="00EC7F53" w:rsidP="00AF625C">
      <w:r>
        <w:separator/>
      </w:r>
    </w:p>
  </w:footnote>
  <w:footnote w:type="continuationSeparator" w:id="0">
    <w:p w:rsidR="00EC7F53" w:rsidRDefault="00EC7F53" w:rsidP="00AF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5C" w:rsidRDefault="00AF62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6" w:type="dxa"/>
      <w:jc w:val="center"/>
      <w:tblInd w:w="-4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86"/>
      <w:gridCol w:w="4915"/>
      <w:gridCol w:w="1276"/>
      <w:gridCol w:w="2279"/>
    </w:tblGrid>
    <w:tr w:rsidR="00AF625C" w:rsidRPr="00A83BEB" w:rsidTr="008B00E3">
      <w:trPr>
        <w:cantSplit/>
        <w:trHeight w:val="624"/>
        <w:jc w:val="center"/>
      </w:trPr>
      <w:tc>
        <w:tcPr>
          <w:tcW w:w="1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25C" w:rsidRPr="00FD773E" w:rsidRDefault="00AF625C" w:rsidP="008B00E3">
          <w:pPr>
            <w:pStyle w:val="a6"/>
            <w:jc w:val="center"/>
            <w:rPr>
              <w:sz w:val="18"/>
              <w:szCs w:val="18"/>
            </w:rPr>
          </w:pPr>
          <w:bookmarkStart w:id="0" w:name="_GoBack" w:colFirst="0" w:colLast="2"/>
          <w:r>
            <w:rPr>
              <w:noProof/>
              <w:lang w:eastAsia="uk-UA"/>
            </w:rPr>
            <w:drawing>
              <wp:inline distT="0" distB="0" distL="0" distR="0" wp14:anchorId="2CEB3DBD" wp14:editId="57AC587F">
                <wp:extent cx="676275" cy="57150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25C" w:rsidRDefault="00AF625C" w:rsidP="008B00E3">
          <w:pPr>
            <w:pStyle w:val="a6"/>
            <w:spacing w:line="216" w:lineRule="auto"/>
            <w:jc w:val="center"/>
          </w:pPr>
          <w:r>
            <w:t>Система менеджменту якості.</w:t>
          </w:r>
        </w:p>
        <w:p w:rsidR="00AF625C" w:rsidRDefault="00AF625C" w:rsidP="008B00E3">
          <w:pPr>
            <w:pStyle w:val="a6"/>
            <w:spacing w:line="216" w:lineRule="auto"/>
            <w:jc w:val="center"/>
          </w:pPr>
          <w:r>
            <w:t xml:space="preserve">Робоча програма </w:t>
          </w:r>
        </w:p>
        <w:p w:rsidR="00AF625C" w:rsidRDefault="00AF625C" w:rsidP="008B00E3">
          <w:pPr>
            <w:pStyle w:val="a6"/>
            <w:spacing w:line="216" w:lineRule="auto"/>
            <w:jc w:val="center"/>
          </w:pPr>
          <w:r>
            <w:t xml:space="preserve">навчальної дисципліни </w:t>
          </w:r>
        </w:p>
        <w:p w:rsidR="00AF625C" w:rsidRPr="00533777" w:rsidRDefault="00AF625C" w:rsidP="008B00E3">
          <w:pPr>
            <w:pStyle w:val="a6"/>
            <w:spacing w:line="216" w:lineRule="auto"/>
            <w:jc w:val="center"/>
            <w:rPr>
              <w:b/>
              <w:sz w:val="22"/>
              <w:szCs w:val="22"/>
            </w:rPr>
          </w:pPr>
          <w:r>
            <w:t>«</w:t>
          </w:r>
          <w:r w:rsidRPr="007E5C6D">
            <w:t>Міжнародні стандарти прав людини та практика ЄСПЛ</w:t>
          </w:r>
          <w: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F625C" w:rsidRPr="00CC31C1" w:rsidRDefault="00AF625C" w:rsidP="008B00E3">
          <w:pPr>
            <w:pStyle w:val="a6"/>
            <w:jc w:val="center"/>
          </w:pPr>
          <w:r w:rsidRPr="00CC31C1">
            <w:t>Шифр</w:t>
          </w:r>
        </w:p>
        <w:p w:rsidR="00AF625C" w:rsidRPr="00CC31C1" w:rsidRDefault="00AF625C" w:rsidP="008B00E3">
          <w:pPr>
            <w:pStyle w:val="a6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F625C" w:rsidRPr="00A6006A" w:rsidRDefault="00AF625C" w:rsidP="008B00E3">
          <w:pPr>
            <w:pStyle w:val="a6"/>
            <w:jc w:val="center"/>
            <w:rPr>
              <w:smallCaps/>
            </w:rPr>
          </w:pPr>
          <w:r w:rsidRPr="00A6006A">
            <w:rPr>
              <w:smallCaps/>
            </w:rPr>
            <w:t xml:space="preserve">СМЯ НАУ </w:t>
          </w:r>
        </w:p>
        <w:p w:rsidR="00AF625C" w:rsidRPr="00A83BEB" w:rsidRDefault="00AF625C" w:rsidP="00AF625C">
          <w:pPr>
            <w:pStyle w:val="a6"/>
            <w:jc w:val="center"/>
          </w:pPr>
          <w:r>
            <w:rPr>
              <w:smallCaps/>
            </w:rPr>
            <w:t>РП</w:t>
          </w:r>
          <w:r w:rsidRPr="00A6006A">
            <w:rPr>
              <w:smallCaps/>
            </w:rPr>
            <w:t xml:space="preserve"> </w:t>
          </w:r>
          <w:r>
            <w:rPr>
              <w:smallCaps/>
              <w:lang w:val="ru-RU"/>
            </w:rPr>
            <w:t>13.01.02</w:t>
          </w:r>
          <w:r w:rsidRPr="00A6006A">
            <w:rPr>
              <w:smallCaps/>
            </w:rPr>
            <w:t>–01–</w:t>
          </w:r>
          <w:r>
            <w:rPr>
              <w:smallCaps/>
            </w:rPr>
            <w:t>2021</w:t>
          </w:r>
        </w:p>
      </w:tc>
    </w:tr>
    <w:tr w:rsidR="00AF625C" w:rsidRPr="00CC31C1" w:rsidTr="008B00E3">
      <w:trPr>
        <w:cantSplit/>
        <w:trHeight w:val="340"/>
        <w:jc w:val="center"/>
      </w:trPr>
      <w:tc>
        <w:tcPr>
          <w:tcW w:w="1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25C" w:rsidRPr="00E94B40" w:rsidRDefault="00AF625C" w:rsidP="008B00E3">
          <w:pPr>
            <w:rPr>
              <w:sz w:val="22"/>
              <w:szCs w:val="22"/>
            </w:rPr>
          </w:pPr>
        </w:p>
      </w:tc>
      <w:tc>
        <w:tcPr>
          <w:tcW w:w="49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25C" w:rsidRPr="00E94B40" w:rsidRDefault="00AF625C" w:rsidP="008B00E3">
          <w:pPr>
            <w:rPr>
              <w:b/>
              <w:sz w:val="22"/>
              <w:szCs w:val="22"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25C" w:rsidRPr="00CC31C1" w:rsidRDefault="00AF625C" w:rsidP="008B00E3">
          <w:pPr>
            <w:pStyle w:val="a6"/>
            <w:jc w:val="center"/>
          </w:pPr>
          <w:r>
            <w:t>с</w:t>
          </w:r>
          <w:r w:rsidRPr="00CC31C1">
            <w:t>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CC31C1">
            <w:t xml:space="preserve"> 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bookmarkEnd w:id="0"/>
  </w:tbl>
  <w:p w:rsidR="00AF625C" w:rsidRDefault="00AF62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5C" w:rsidRDefault="00AF62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FA"/>
    <w:rsid w:val="004C37F8"/>
    <w:rsid w:val="00873FFA"/>
    <w:rsid w:val="00AE3401"/>
    <w:rsid w:val="00AF625C"/>
    <w:rsid w:val="00E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7F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C37F8"/>
    <w:rPr>
      <w:color w:val="0000FF"/>
      <w:u w:val="single"/>
    </w:rPr>
  </w:style>
  <w:style w:type="paragraph" w:customStyle="1" w:styleId="Default">
    <w:name w:val="Default"/>
    <w:rsid w:val="004C37F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AF625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F6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25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2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7F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C37F8"/>
    <w:rPr>
      <w:color w:val="0000FF"/>
      <w:u w:val="single"/>
    </w:rPr>
  </w:style>
  <w:style w:type="paragraph" w:customStyle="1" w:styleId="Default">
    <w:name w:val="Default"/>
    <w:rsid w:val="004C37F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AF625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F6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25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2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5/c/MTA3MjU1MDMzNzU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3233</Words>
  <Characters>1843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2021-06-10T10:20:00Z</dcterms:created>
  <dcterms:modified xsi:type="dcterms:W3CDTF">2021-06-10T10:21:00Z</dcterms:modified>
</cp:coreProperties>
</file>