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92AA" w14:textId="77777777" w:rsidR="00E430D7" w:rsidRDefault="00E430D7" w:rsidP="00E430D7">
      <w:pPr>
        <w:ind w:left="567"/>
        <w:jc w:val="right"/>
        <w:rPr>
          <w:shd w:val="clear" w:color="auto" w:fill="FFFFFF"/>
        </w:rPr>
      </w:pPr>
      <w:r w:rsidRPr="005F27B7">
        <w:rPr>
          <w:shd w:val="clear" w:color="auto" w:fill="FFFFFF"/>
        </w:rPr>
        <w:t xml:space="preserve">(Ф 21.01 </w:t>
      </w:r>
      <w:r>
        <w:rPr>
          <w:shd w:val="clear" w:color="auto" w:fill="FFFFFF"/>
        </w:rPr>
        <w:t>–</w:t>
      </w:r>
      <w:r w:rsidRPr="005F27B7">
        <w:rPr>
          <w:shd w:val="clear" w:color="auto" w:fill="FFFFFF"/>
        </w:rPr>
        <w:t xml:space="preserve"> 0</w:t>
      </w:r>
      <w:r w:rsidRPr="005F27B7">
        <w:rPr>
          <w:shd w:val="clear" w:color="auto" w:fill="FFFFFF"/>
          <w:lang w:val="ru-RU"/>
        </w:rPr>
        <w:t>3</w:t>
      </w:r>
      <w:r w:rsidRPr="005F27B7">
        <w:rPr>
          <w:shd w:val="clear" w:color="auto" w:fill="FFFFFF"/>
        </w:rPr>
        <w:t>)</w:t>
      </w:r>
    </w:p>
    <w:p w14:paraId="18834FF6" w14:textId="77777777" w:rsidR="00E430D7" w:rsidRPr="00A97BFB" w:rsidRDefault="00E430D7" w:rsidP="00E430D7">
      <w:pPr>
        <w:ind w:left="567"/>
        <w:jc w:val="right"/>
        <w:rPr>
          <w:sz w:val="12"/>
          <w:szCs w:val="12"/>
          <w:shd w:val="clear" w:color="auto" w:fill="FFFFF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559"/>
        <w:gridCol w:w="5601"/>
      </w:tblGrid>
      <w:tr w:rsidR="00E430D7" w14:paraId="03C1D56F" w14:textId="77777777" w:rsidTr="00D57D58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14:paraId="009F5FCC" w14:textId="77777777" w:rsidR="00E430D7" w:rsidRPr="00445623" w:rsidRDefault="00E430D7" w:rsidP="00D57D58">
            <w:pPr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9264" behindDoc="1" locked="0" layoutInCell="1" allowOverlap="1" wp14:anchorId="2D819574" wp14:editId="5F4F56FC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2" name="Рисунок 2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0" w:type="dxa"/>
            <w:gridSpan w:val="2"/>
            <w:shd w:val="clear" w:color="auto" w:fill="FFFFFF"/>
            <w:vAlign w:val="center"/>
          </w:tcPr>
          <w:p w14:paraId="7D2AB6E6" w14:textId="77777777" w:rsidR="00E430D7" w:rsidRDefault="00E430D7" w:rsidP="00D57D58">
            <w:pPr>
              <w:jc w:val="center"/>
              <w:rPr>
                <w:b/>
                <w:shd w:val="clear" w:color="auto" w:fill="FFFFFF"/>
              </w:rPr>
            </w:pPr>
            <w:r w:rsidRPr="00445623">
              <w:rPr>
                <w:b/>
                <w:shd w:val="clear" w:color="auto" w:fill="FFFFFF"/>
              </w:rPr>
              <w:t>Силабус навчальної дисципліни</w:t>
            </w:r>
          </w:p>
          <w:p w14:paraId="1F8335FE" w14:textId="77777777" w:rsidR="00E430D7" w:rsidRPr="00445623" w:rsidRDefault="00E430D7" w:rsidP="00D57D58">
            <w:pPr>
              <w:jc w:val="center"/>
              <w:rPr>
                <w:b/>
                <w:shd w:val="clear" w:color="auto" w:fill="FFFFFF"/>
              </w:rPr>
            </w:pPr>
            <w:r w:rsidRPr="00445623">
              <w:rPr>
                <w:b/>
                <w:shd w:val="clear" w:color="auto" w:fill="FFFFFF"/>
              </w:rPr>
              <w:t>«</w:t>
            </w:r>
            <w:r>
              <w:rPr>
                <w:b/>
                <w:shd w:val="clear" w:color="auto" w:fill="FFFFFF"/>
              </w:rPr>
              <w:t>АДВОКАТУРА ТА НОТАРІАТ В УКРАЇНІ</w:t>
            </w:r>
            <w:r w:rsidRPr="00445623">
              <w:rPr>
                <w:b/>
                <w:shd w:val="clear" w:color="auto" w:fill="FFFFFF"/>
              </w:rPr>
              <w:t>»</w:t>
            </w:r>
          </w:p>
          <w:p w14:paraId="2ECB933D" w14:textId="77777777" w:rsidR="00E430D7" w:rsidRPr="00445623" w:rsidRDefault="00E430D7" w:rsidP="00D57D58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Освітньо-професійної програми «Правознавство»</w:t>
            </w:r>
          </w:p>
          <w:p w14:paraId="6B88E944" w14:textId="77777777" w:rsidR="00E430D7" w:rsidRDefault="00E430D7" w:rsidP="00D57D58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           Галузь знань:</w:t>
            </w:r>
            <w:r w:rsidR="008B2305">
              <w:rPr>
                <w:b/>
                <w:color w:val="000000"/>
                <w:shd w:val="clear" w:color="auto" w:fill="FFFFFF"/>
              </w:rPr>
              <w:t xml:space="preserve">   </w:t>
            </w:r>
            <w:r>
              <w:rPr>
                <w:b/>
                <w:color w:val="000000"/>
                <w:shd w:val="clear" w:color="auto" w:fill="FFFFFF"/>
                <w:lang w:val="ru-RU"/>
              </w:rPr>
              <w:t>08</w:t>
            </w:r>
            <w:r>
              <w:rPr>
                <w:b/>
                <w:color w:val="000000"/>
                <w:shd w:val="clear" w:color="auto" w:fill="FFFFFF"/>
              </w:rPr>
              <w:t xml:space="preserve">  «</w:t>
            </w:r>
            <w:r>
              <w:rPr>
                <w:b/>
                <w:shd w:val="clear" w:color="auto" w:fill="FFFFFF"/>
              </w:rPr>
              <w:t>Право</w:t>
            </w:r>
            <w:r>
              <w:rPr>
                <w:b/>
                <w:color w:val="000000"/>
                <w:shd w:val="clear" w:color="auto" w:fill="FFFFFF"/>
              </w:rPr>
              <w:t>»</w:t>
            </w:r>
          </w:p>
          <w:p w14:paraId="40E09BB2" w14:textId="7DC111EF" w:rsidR="00E430D7" w:rsidRPr="00BA4B1B" w:rsidRDefault="00E430D7" w:rsidP="00D57D58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  <w:lang w:val="ru-RU"/>
              </w:rPr>
              <w:t xml:space="preserve">     </w:t>
            </w:r>
            <w:r w:rsidR="00D5658B">
              <w:rPr>
                <w:b/>
                <w:shd w:val="clear" w:color="auto" w:fill="FFFFFF"/>
                <w:lang w:val="ru-RU"/>
              </w:rPr>
              <w:t xml:space="preserve">        </w:t>
            </w:r>
            <w:r w:rsidRPr="002E5FC0">
              <w:rPr>
                <w:b/>
                <w:shd w:val="clear" w:color="auto" w:fill="FFFFFF"/>
              </w:rPr>
              <w:t xml:space="preserve">Спеціальність: </w:t>
            </w:r>
            <w:r>
              <w:rPr>
                <w:b/>
                <w:shd w:val="clear" w:color="auto" w:fill="FFFFFF"/>
                <w:lang w:val="ru-RU"/>
              </w:rPr>
              <w:t xml:space="preserve">081 </w:t>
            </w:r>
            <w:r>
              <w:rPr>
                <w:b/>
              </w:rPr>
              <w:t>«</w:t>
            </w:r>
            <w:r>
              <w:rPr>
                <w:b/>
                <w:shd w:val="clear" w:color="auto" w:fill="FFFFFF"/>
              </w:rPr>
              <w:t>Право</w:t>
            </w:r>
            <w:r>
              <w:rPr>
                <w:b/>
              </w:rPr>
              <w:t>»</w:t>
            </w:r>
          </w:p>
        </w:tc>
      </w:tr>
      <w:tr w:rsidR="00E430D7" w14:paraId="46E11686" w14:textId="77777777" w:rsidTr="00D57D58">
        <w:tc>
          <w:tcPr>
            <w:tcW w:w="3261" w:type="dxa"/>
            <w:shd w:val="clear" w:color="auto" w:fill="FFFFFF"/>
          </w:tcPr>
          <w:p w14:paraId="459E0245" w14:textId="48F1C44A" w:rsidR="00E430D7" w:rsidRPr="0047308B" w:rsidRDefault="00E430D7" w:rsidP="00D57D58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Рівень вищої освіти</w:t>
            </w:r>
          </w:p>
        </w:tc>
        <w:tc>
          <w:tcPr>
            <w:tcW w:w="7160" w:type="dxa"/>
            <w:gridSpan w:val="2"/>
          </w:tcPr>
          <w:p w14:paraId="3079ACA6" w14:textId="77777777" w:rsidR="00E430D7" w:rsidRPr="00F17A98" w:rsidRDefault="00E430D7" w:rsidP="00D57D58">
            <w:pPr>
              <w:rPr>
                <w:color w:val="000000"/>
                <w:shd w:val="clear" w:color="auto" w:fill="FFFFFF"/>
              </w:rPr>
            </w:pPr>
            <w:r w:rsidRPr="00F17A98">
              <w:rPr>
                <w:color w:val="000000"/>
                <w:shd w:val="clear" w:color="auto" w:fill="FFFFFF"/>
              </w:rPr>
              <w:t>Перший (бакалаврський)</w:t>
            </w:r>
          </w:p>
        </w:tc>
      </w:tr>
      <w:tr w:rsidR="00E430D7" w14:paraId="1792FCC2" w14:textId="77777777" w:rsidTr="00D57D58">
        <w:tc>
          <w:tcPr>
            <w:tcW w:w="3261" w:type="dxa"/>
            <w:shd w:val="clear" w:color="auto" w:fill="FFFFFF"/>
          </w:tcPr>
          <w:p w14:paraId="4429F1B0" w14:textId="77777777" w:rsidR="00E430D7" w:rsidRPr="00445623" w:rsidRDefault="00E430D7" w:rsidP="00D57D58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  <w:gridSpan w:val="2"/>
          </w:tcPr>
          <w:p w14:paraId="1829D311" w14:textId="77777777" w:rsidR="00E430D7" w:rsidRPr="00445623" w:rsidRDefault="00E430D7" w:rsidP="00D57D58">
            <w:pPr>
              <w:rPr>
                <w:color w:val="000000"/>
                <w:shd w:val="clear" w:color="auto" w:fill="FFFFFF"/>
              </w:rPr>
            </w:pPr>
            <w:r w:rsidRPr="00445623">
              <w:rPr>
                <w:color w:val="000000"/>
                <w:shd w:val="clear" w:color="auto" w:fill="FFFFFF"/>
              </w:rPr>
              <w:t>Навчальна дисципліна вибіркового компонента із фахового переліку</w:t>
            </w:r>
          </w:p>
        </w:tc>
      </w:tr>
      <w:tr w:rsidR="00E430D7" w14:paraId="4CD3A0AD" w14:textId="77777777" w:rsidTr="00D57D58">
        <w:tc>
          <w:tcPr>
            <w:tcW w:w="3261" w:type="dxa"/>
            <w:shd w:val="clear" w:color="auto" w:fill="FFFFFF"/>
          </w:tcPr>
          <w:p w14:paraId="7CF7602F" w14:textId="77777777" w:rsidR="00E430D7" w:rsidRPr="00445623" w:rsidRDefault="00E430D7" w:rsidP="00D57D58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Курс</w:t>
            </w:r>
          </w:p>
        </w:tc>
        <w:tc>
          <w:tcPr>
            <w:tcW w:w="7160" w:type="dxa"/>
            <w:gridSpan w:val="2"/>
          </w:tcPr>
          <w:p w14:paraId="3931F6BE" w14:textId="77777777" w:rsidR="00E430D7" w:rsidRPr="00DE37FE" w:rsidRDefault="00E430D7" w:rsidP="00D57D58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2</w:t>
            </w:r>
            <w:r w:rsidRPr="00DE37FE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другий</w:t>
            </w:r>
            <w:proofErr w:type="spellEnd"/>
            <w:r w:rsidRPr="00DE37FE">
              <w:rPr>
                <w:color w:val="000000"/>
                <w:shd w:val="clear" w:color="auto" w:fill="FFFFFF"/>
              </w:rPr>
              <w:t>)</w:t>
            </w:r>
          </w:p>
        </w:tc>
      </w:tr>
      <w:tr w:rsidR="00E430D7" w14:paraId="123FAC32" w14:textId="77777777" w:rsidTr="00D57D58">
        <w:tc>
          <w:tcPr>
            <w:tcW w:w="3261" w:type="dxa"/>
            <w:shd w:val="clear" w:color="auto" w:fill="FFFFFF"/>
          </w:tcPr>
          <w:p w14:paraId="6DC7FBE4" w14:textId="77777777" w:rsidR="00E430D7" w:rsidRPr="00445623" w:rsidRDefault="00E430D7" w:rsidP="00D57D58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Семестр</w:t>
            </w:r>
          </w:p>
        </w:tc>
        <w:tc>
          <w:tcPr>
            <w:tcW w:w="7160" w:type="dxa"/>
            <w:gridSpan w:val="2"/>
          </w:tcPr>
          <w:p w14:paraId="2C173B03" w14:textId="23A35D44" w:rsidR="00E430D7" w:rsidRPr="00DE37FE" w:rsidRDefault="00D5658B" w:rsidP="00D57D58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Весняний</w:t>
            </w:r>
          </w:p>
        </w:tc>
      </w:tr>
      <w:tr w:rsidR="00E430D7" w14:paraId="7FC8D283" w14:textId="77777777" w:rsidTr="00D57D58">
        <w:tc>
          <w:tcPr>
            <w:tcW w:w="3261" w:type="dxa"/>
            <w:shd w:val="clear" w:color="auto" w:fill="FFFFFF"/>
          </w:tcPr>
          <w:p w14:paraId="2FBDC64B" w14:textId="77777777" w:rsidR="00E430D7" w:rsidRPr="00445623" w:rsidRDefault="00E430D7" w:rsidP="00D57D58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 xml:space="preserve">Обсяг дисципліни, </w:t>
            </w:r>
          </w:p>
          <w:p w14:paraId="1E6CF3B4" w14:textId="77777777" w:rsidR="00E430D7" w:rsidRPr="00445623" w:rsidRDefault="00E430D7" w:rsidP="00D57D58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кредити ЄКТС</w:t>
            </w:r>
            <w:r w:rsidRPr="00445623">
              <w:rPr>
                <w:b/>
                <w:color w:val="000000"/>
                <w:shd w:val="clear" w:color="auto" w:fill="FFFFFF"/>
                <w:lang w:val="ru-RU"/>
              </w:rPr>
              <w:t>/</w:t>
            </w:r>
            <w:r w:rsidRPr="00445623">
              <w:rPr>
                <w:b/>
                <w:color w:val="000000"/>
                <w:shd w:val="clear" w:color="auto" w:fill="FFFFFF"/>
              </w:rPr>
              <w:t>години</w:t>
            </w:r>
          </w:p>
        </w:tc>
        <w:tc>
          <w:tcPr>
            <w:tcW w:w="7160" w:type="dxa"/>
            <w:gridSpan w:val="2"/>
          </w:tcPr>
          <w:p w14:paraId="54CE0CAB" w14:textId="77777777" w:rsidR="00E430D7" w:rsidRPr="00DE37FE" w:rsidRDefault="00E430D7" w:rsidP="00D57D58">
            <w:pPr>
              <w:jc w:val="both"/>
              <w:rPr>
                <w:color w:val="000000"/>
                <w:shd w:val="clear" w:color="auto" w:fill="FFFFFF"/>
              </w:rPr>
            </w:pPr>
            <w:r w:rsidRPr="00DE37FE">
              <w:rPr>
                <w:color w:val="000000"/>
                <w:shd w:val="clear" w:color="auto" w:fill="FFFFFF"/>
              </w:rPr>
              <w:t>4 кредити/120 годин</w:t>
            </w:r>
          </w:p>
        </w:tc>
      </w:tr>
      <w:tr w:rsidR="00E430D7" w14:paraId="064D3015" w14:textId="77777777" w:rsidTr="00D57D58">
        <w:tc>
          <w:tcPr>
            <w:tcW w:w="3261" w:type="dxa"/>
            <w:shd w:val="clear" w:color="auto" w:fill="FFFFFF"/>
          </w:tcPr>
          <w:p w14:paraId="5640D5FD" w14:textId="77777777" w:rsidR="00E430D7" w:rsidRPr="00445623" w:rsidRDefault="00E430D7" w:rsidP="00D57D58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  <w:gridSpan w:val="2"/>
          </w:tcPr>
          <w:p w14:paraId="105E220E" w14:textId="77777777" w:rsidR="00E430D7" w:rsidRPr="00DE37FE" w:rsidRDefault="00E430D7" w:rsidP="00D57D58">
            <w:pPr>
              <w:jc w:val="both"/>
              <w:rPr>
                <w:color w:val="000000"/>
                <w:shd w:val="clear" w:color="auto" w:fill="FFFFFF"/>
              </w:rPr>
            </w:pPr>
            <w:r w:rsidRPr="00DE37FE">
              <w:rPr>
                <w:color w:val="000000"/>
                <w:shd w:val="clear" w:color="auto" w:fill="FFFFFF"/>
              </w:rPr>
              <w:t>українська</w:t>
            </w:r>
          </w:p>
        </w:tc>
      </w:tr>
      <w:tr w:rsidR="00E430D7" w14:paraId="675B4629" w14:textId="77777777" w:rsidTr="00D57D58">
        <w:tc>
          <w:tcPr>
            <w:tcW w:w="3261" w:type="dxa"/>
            <w:shd w:val="clear" w:color="auto" w:fill="FFFFFF"/>
          </w:tcPr>
          <w:p w14:paraId="5A3A438F" w14:textId="77777777" w:rsidR="00E430D7" w:rsidRPr="00445623" w:rsidRDefault="00E430D7" w:rsidP="00D57D58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</w:rPr>
              <w:t>Що буде вивчатися (предмет вивчення)</w:t>
            </w:r>
          </w:p>
        </w:tc>
        <w:tc>
          <w:tcPr>
            <w:tcW w:w="7160" w:type="dxa"/>
            <w:gridSpan w:val="2"/>
          </w:tcPr>
          <w:p w14:paraId="083EAC0E" w14:textId="77777777" w:rsidR="00E430D7" w:rsidRPr="00B55302" w:rsidRDefault="00956C87" w:rsidP="00D57D58">
            <w:pPr>
              <w:jc w:val="both"/>
              <w:rPr>
                <w:b/>
                <w:i/>
                <w:color w:val="FF0000"/>
                <w:shd w:val="clear" w:color="auto" w:fill="FFFFFF"/>
              </w:rPr>
            </w:pPr>
            <w:r w:rsidRPr="00956C87">
              <w:rPr>
                <w:color w:val="000000"/>
              </w:rPr>
              <w:t>Дисципліна «Адвокатура та нотаріат в Україні» є  правовою дисципліною, яка займає важливе місце у системі професійної підготовки. Поглиблене вивчення курсу  дозволяє студентам одержати основи професійних знань у цьому виді юридичної діяльності, належним чином орієнтуватися та застосовувати діюче законодавство України при здійсненні професійних обов'язків, сприяє виробленню у майбутніх правознавців навичок у використанні передбачених законом засобів і способів захисту конституційних прав громадян при наданні різних видів кваліфікованої правової допомоги.</w:t>
            </w:r>
          </w:p>
        </w:tc>
      </w:tr>
      <w:tr w:rsidR="00E430D7" w14:paraId="50CC1FEC" w14:textId="77777777" w:rsidTr="00D57D58">
        <w:tc>
          <w:tcPr>
            <w:tcW w:w="3261" w:type="dxa"/>
            <w:shd w:val="clear" w:color="auto" w:fill="FFFFFF"/>
          </w:tcPr>
          <w:p w14:paraId="339F9220" w14:textId="77777777" w:rsidR="00E430D7" w:rsidRPr="00445623" w:rsidRDefault="00E430D7" w:rsidP="00D57D58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</w:rPr>
              <w:t>Чому це цікаво/треба вивчати (мета)</w:t>
            </w:r>
          </w:p>
        </w:tc>
        <w:tc>
          <w:tcPr>
            <w:tcW w:w="7160" w:type="dxa"/>
            <w:gridSpan w:val="2"/>
          </w:tcPr>
          <w:p w14:paraId="0BB59970" w14:textId="77777777" w:rsidR="00E430D7" w:rsidRPr="002A3D19" w:rsidRDefault="00956C87" w:rsidP="00956C87">
            <w:pPr>
              <w:jc w:val="both"/>
              <w:rPr>
                <w:color w:val="FF0000"/>
                <w:shd w:val="clear" w:color="auto" w:fill="FFFFFF"/>
              </w:rPr>
            </w:pPr>
            <w:r>
              <w:t xml:space="preserve">Отримання системного знання про завдання, функції, основні напрямки діяльності  органів адвокатури і нотаріату. Засвоєння теоретичних основ сутності та змісту адвокатської діяльності, а також категоріального апарату, який використовується при викладанні дисципліни (адвокатура України, адвокат, адвокатська діяльність, захист, представництво, договір про надання правової допомоги тощо.); розширення кола знань про завдання сучасної адвокатури, види та форми адвокатської діяльності, що передбачені законодавством і застосовуються на практиці; ознайомлення з правовим та організаційним забезпеченням адвокатів, адвокатських бюро та адвокатських об’єднань ; </w:t>
            </w:r>
            <w:r>
              <w:tab/>
              <w:t xml:space="preserve">розуміння поняття та завдання нотаріату, структури нотаріату, джерел нотаріального процесу, Кодексу професійної етики нотаріусів України; </w:t>
            </w:r>
            <w:r>
              <w:tab/>
              <w:t>дослідження  нормативно-правових актів,  що  регулюють  нотаріальну  діяльність  в Україні; практичне використання набутих знань.</w:t>
            </w:r>
          </w:p>
        </w:tc>
      </w:tr>
      <w:tr w:rsidR="00E430D7" w14:paraId="4F156657" w14:textId="77777777" w:rsidTr="00D57D58">
        <w:tc>
          <w:tcPr>
            <w:tcW w:w="3261" w:type="dxa"/>
            <w:shd w:val="clear" w:color="auto" w:fill="FFFFFF"/>
          </w:tcPr>
          <w:p w14:paraId="41F19074" w14:textId="77777777" w:rsidR="00E430D7" w:rsidRPr="00445623" w:rsidRDefault="00E430D7" w:rsidP="00D57D58">
            <w:pPr>
              <w:rPr>
                <w:b/>
              </w:rPr>
            </w:pPr>
            <w:r w:rsidRPr="00445623">
              <w:rPr>
                <w:b/>
              </w:rPr>
              <w:t>Чому можна навчитися (результати навчання)</w:t>
            </w:r>
          </w:p>
        </w:tc>
        <w:tc>
          <w:tcPr>
            <w:tcW w:w="7160" w:type="dxa"/>
            <w:gridSpan w:val="2"/>
          </w:tcPr>
          <w:p w14:paraId="6B3F854F" w14:textId="77777777" w:rsidR="00956C87" w:rsidRDefault="00956C87" w:rsidP="00956C8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>
              <w:t>Проводити збір і інтегрований аналіз матеріалів з різних джерел.</w:t>
            </w:r>
          </w:p>
          <w:p w14:paraId="7EEA195D" w14:textId="77777777" w:rsidR="00956C87" w:rsidRDefault="00956C87" w:rsidP="00956C8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>
              <w:t>Давати короткий висновок щодо окремих фактичних обставин (даних) з достатньою обґрунтованістю.</w:t>
            </w:r>
          </w:p>
          <w:p w14:paraId="75DBF3C0" w14:textId="77777777" w:rsidR="00956C87" w:rsidRDefault="00956C87" w:rsidP="00956C8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>
              <w:t xml:space="preserve"> Оцінювати недоліки і переваги аргументів, аналізуючи відому проблему.</w:t>
            </w:r>
          </w:p>
          <w:p w14:paraId="12230D68" w14:textId="77777777" w:rsidR="00956C87" w:rsidRDefault="00956C87" w:rsidP="00956C8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>
              <w:t>Складати та узгоджувати план власного дослідження і самостійно формувати матеріали за визначеними джерелами.</w:t>
            </w:r>
          </w:p>
          <w:p w14:paraId="65C5FD9C" w14:textId="77777777" w:rsidR="00956C87" w:rsidRDefault="00956C87" w:rsidP="00956C8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>
              <w:t xml:space="preserve"> Використовувати різноманітні інформаційні джерела для повного та всебічного встановлення певних обставин.</w:t>
            </w:r>
          </w:p>
          <w:p w14:paraId="779F37AA" w14:textId="77777777" w:rsidR="00956C87" w:rsidRDefault="00956C87" w:rsidP="00956C8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>
              <w:t>Самостійно визначати ті обставини, у з’ясуванні яких потрібна допомога, і діяти відповідно до отриманих рекомендацій.</w:t>
            </w:r>
          </w:p>
          <w:p w14:paraId="32276779" w14:textId="77777777" w:rsidR="00956C87" w:rsidRDefault="00956C87" w:rsidP="00956C8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>
              <w:t>Володіти базовими навичками риторики.</w:t>
            </w:r>
          </w:p>
          <w:p w14:paraId="2CB96A65" w14:textId="77777777" w:rsidR="00956C87" w:rsidRDefault="00956C87" w:rsidP="00956C8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>
              <w:t xml:space="preserve">Повага до честі і гідності людини як найвищої соціальної цінності, </w:t>
            </w:r>
            <w:r>
              <w:lastRenderedPageBreak/>
              <w:t>розуміння їх правової природи.</w:t>
            </w:r>
          </w:p>
          <w:p w14:paraId="60336B92" w14:textId="77777777" w:rsidR="00956C87" w:rsidRDefault="00956C87" w:rsidP="00956C8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>
              <w:t>Пояснювати характер певних подій та процесів з розумінням професійного та суспільного контексту.</w:t>
            </w:r>
          </w:p>
          <w:p w14:paraId="2FB2B9CD" w14:textId="77777777" w:rsidR="00956C87" w:rsidRDefault="00956C87" w:rsidP="00956C8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>
              <w:t>Вільно використовувати для професійної діяльності доступні інформаційні технології і бази даних.</w:t>
            </w:r>
          </w:p>
          <w:p w14:paraId="768EA750" w14:textId="77777777" w:rsidR="00956C87" w:rsidRDefault="00956C87" w:rsidP="00956C8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>
              <w:t>Застосовувати набуті знання у різних правових ситуаціях, виокремлювати юридично значущі факти і формувати обґрунтовані правові висновки.</w:t>
            </w:r>
          </w:p>
          <w:p w14:paraId="59B5B0F5" w14:textId="77777777" w:rsidR="00956C87" w:rsidRDefault="00956C87" w:rsidP="00956C8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>
              <w:t>Готувати проекти необхідних актів застосування права відповідно до правового висновку зробленого у різних правових ситуаціях.</w:t>
            </w:r>
          </w:p>
          <w:p w14:paraId="2A527B73" w14:textId="77777777" w:rsidR="00956C87" w:rsidRDefault="00956C87" w:rsidP="00956C8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>
              <w:t>Надавати консультації щодо можливих способів захисту прав та інтересів клієнтів у різних правових ситуаціях.</w:t>
            </w:r>
          </w:p>
          <w:p w14:paraId="3956B974" w14:textId="77777777" w:rsidR="00E430D7" w:rsidRPr="00CC09C1" w:rsidRDefault="00956C87" w:rsidP="00956C8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t>Надавати консультації щодо можливих способів захисту прав та інтересів клієнтів у сфері повітряного та космічного права.</w:t>
            </w:r>
          </w:p>
        </w:tc>
      </w:tr>
      <w:tr w:rsidR="00E430D7" w14:paraId="31798762" w14:textId="77777777" w:rsidTr="00D57D58">
        <w:tc>
          <w:tcPr>
            <w:tcW w:w="3261" w:type="dxa"/>
            <w:shd w:val="clear" w:color="auto" w:fill="FFFFFF"/>
          </w:tcPr>
          <w:p w14:paraId="0303F139" w14:textId="77777777" w:rsidR="00E430D7" w:rsidRPr="00445623" w:rsidRDefault="00E430D7" w:rsidP="00D57D58">
            <w:pPr>
              <w:rPr>
                <w:b/>
              </w:rPr>
            </w:pPr>
            <w:r w:rsidRPr="00445623">
              <w:rPr>
                <w:b/>
              </w:rPr>
              <w:lastRenderedPageBreak/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  <w:gridSpan w:val="2"/>
          </w:tcPr>
          <w:p w14:paraId="4949D479" w14:textId="77777777" w:rsidR="00956C87" w:rsidRDefault="00956C87" w:rsidP="00956C87">
            <w:pPr>
              <w:ind w:firstLine="34"/>
              <w:jc w:val="both"/>
            </w:pPr>
            <w:r>
              <w:t>Здатність до абстрактного мислення, аналізу і синтезу.</w:t>
            </w:r>
          </w:p>
          <w:p w14:paraId="30690BB7" w14:textId="77777777" w:rsidR="00956C87" w:rsidRDefault="00956C87" w:rsidP="00956C87">
            <w:pPr>
              <w:ind w:firstLine="34"/>
              <w:jc w:val="both"/>
            </w:pPr>
            <w:r>
              <w:t>Здатність застосовувати знання у практичних ситуаціях.</w:t>
            </w:r>
          </w:p>
          <w:p w14:paraId="48F32939" w14:textId="77777777" w:rsidR="00956C87" w:rsidRDefault="00956C87" w:rsidP="00956C87">
            <w:pPr>
              <w:ind w:firstLine="34"/>
              <w:jc w:val="both"/>
            </w:pPr>
            <w:r>
              <w:t xml:space="preserve">Знання і розуміння предметної області та розуміння професійної </w:t>
            </w:r>
          </w:p>
          <w:p w14:paraId="33813CF6" w14:textId="77777777" w:rsidR="00956C87" w:rsidRDefault="00956C87" w:rsidP="00956C87">
            <w:pPr>
              <w:ind w:firstLine="34"/>
              <w:jc w:val="both"/>
            </w:pPr>
            <w:r>
              <w:t>діяльності.</w:t>
            </w:r>
          </w:p>
          <w:p w14:paraId="000C6743" w14:textId="77777777" w:rsidR="00956C87" w:rsidRDefault="00956C87" w:rsidP="00956C87">
            <w:pPr>
              <w:ind w:firstLine="34"/>
              <w:jc w:val="both"/>
            </w:pPr>
            <w:r>
              <w:t>Здатність бути критичним і самокритичним.</w:t>
            </w:r>
          </w:p>
          <w:p w14:paraId="76E22A29" w14:textId="77777777" w:rsidR="00956C87" w:rsidRDefault="00956C87" w:rsidP="00956C87">
            <w:pPr>
              <w:ind w:firstLine="34"/>
              <w:jc w:val="both"/>
            </w:pPr>
            <w:r>
              <w:t>Здатність працювати в команді.</w:t>
            </w:r>
          </w:p>
          <w:p w14:paraId="5D786945" w14:textId="77777777" w:rsidR="00956C87" w:rsidRDefault="00956C87" w:rsidP="00956C87">
            <w:pPr>
              <w:ind w:firstLine="34"/>
              <w:jc w:val="both"/>
            </w:pPr>
            <w:r>
              <w:t>Здатність діяти на основі етичних міркувань (мотивів).</w:t>
            </w:r>
          </w:p>
          <w:p w14:paraId="6F6B65CA" w14:textId="77777777" w:rsidR="00956C87" w:rsidRDefault="00956C87" w:rsidP="00956C87">
            <w:pPr>
              <w:ind w:firstLine="34"/>
              <w:jc w:val="both"/>
            </w:pPr>
            <w: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062CDB8A" w14:textId="77777777" w:rsidR="00956C87" w:rsidRDefault="00956C87" w:rsidP="00956C87">
            <w:pPr>
              <w:jc w:val="both"/>
            </w:pPr>
            <w:r>
              <w:t xml:space="preserve"> Повага до честі і гідності людини як найвищої соціальної цінності, розуміння їх правової природи.</w:t>
            </w:r>
          </w:p>
          <w:p w14:paraId="01EEF901" w14:textId="77777777" w:rsidR="00956C87" w:rsidRDefault="00956C87" w:rsidP="00956C87">
            <w:pPr>
              <w:ind w:firstLine="34"/>
              <w:jc w:val="both"/>
            </w:pPr>
            <w:r>
              <w:t>Здатність застосовувати знання завдань, принципів і доктрин національного права, а також змісту правових інститутів, щонайменше з таких галузей права, як: конституційне право, адміністративне право, цивільне і цивільне процесуальне право, кримінальне і кримінальне процесуальне право.</w:t>
            </w:r>
          </w:p>
          <w:p w14:paraId="47D353DC" w14:textId="77777777" w:rsidR="00956C87" w:rsidRDefault="00956C87" w:rsidP="00956C87">
            <w:pPr>
              <w:ind w:firstLine="34"/>
              <w:jc w:val="both"/>
            </w:pPr>
            <w:r>
              <w:t>Знання і розуміння особливостей реалізації та застосування норм матеріального і процесуального права.</w:t>
            </w:r>
          </w:p>
          <w:p w14:paraId="1144F71E" w14:textId="77777777" w:rsidR="00956C87" w:rsidRDefault="00956C87" w:rsidP="00956C87">
            <w:pPr>
              <w:ind w:firstLine="34"/>
              <w:jc w:val="both"/>
            </w:pPr>
            <w:r>
              <w:t>Здатність до критичного та системного аналізу правових явищ і застосування набутих знань у професійній діяльності.</w:t>
            </w:r>
          </w:p>
          <w:p w14:paraId="1DC8FC5D" w14:textId="77777777" w:rsidR="00956C87" w:rsidRDefault="00956C87" w:rsidP="00956C87">
            <w:pPr>
              <w:ind w:firstLine="34"/>
              <w:jc w:val="both"/>
            </w:pPr>
            <w:r>
              <w:t>Здатність до консультування з правових питань, зокрема, можливих способів захисту прав та інтересів клієнтів, відповідно до вимог професійної етики, належного дотримання норм щодо нерозголошення персональних даних та конфіденційної інформації.</w:t>
            </w:r>
          </w:p>
          <w:p w14:paraId="428633AF" w14:textId="77777777" w:rsidR="00E430D7" w:rsidRPr="005D1ABC" w:rsidRDefault="00956C87" w:rsidP="00956C87">
            <w:pPr>
              <w:ind w:firstLine="34"/>
              <w:jc w:val="both"/>
              <w:rPr>
                <w:color w:val="000000"/>
                <w:shd w:val="clear" w:color="auto" w:fill="FFFFFF"/>
              </w:rPr>
            </w:pPr>
            <w:r>
              <w:t xml:space="preserve">Здатність до логічного, критичного і системного аналізу документів, розуміння їх правового характеру і значення.  </w:t>
            </w:r>
          </w:p>
        </w:tc>
      </w:tr>
      <w:tr w:rsidR="00E430D7" w14:paraId="60A4955D" w14:textId="77777777" w:rsidTr="00D57D58">
        <w:tc>
          <w:tcPr>
            <w:tcW w:w="3261" w:type="dxa"/>
            <w:shd w:val="clear" w:color="auto" w:fill="FFFFFF"/>
          </w:tcPr>
          <w:p w14:paraId="1E4B8708" w14:textId="77777777" w:rsidR="00E430D7" w:rsidRPr="00445623" w:rsidRDefault="00E430D7" w:rsidP="00D57D58">
            <w:pPr>
              <w:rPr>
                <w:b/>
              </w:rPr>
            </w:pPr>
            <w:r w:rsidRPr="00445623">
              <w:rPr>
                <w:b/>
              </w:rPr>
              <w:t>Навчальна логістика</w:t>
            </w:r>
          </w:p>
        </w:tc>
        <w:tc>
          <w:tcPr>
            <w:tcW w:w="7160" w:type="dxa"/>
            <w:gridSpan w:val="2"/>
          </w:tcPr>
          <w:p w14:paraId="5742ABAC" w14:textId="77777777" w:rsidR="00D5658B" w:rsidRDefault="00E430D7" w:rsidP="00D57D58">
            <w:pPr>
              <w:jc w:val="both"/>
              <w:rPr>
                <w:b/>
              </w:rPr>
            </w:pPr>
            <w:r w:rsidRPr="00445623">
              <w:rPr>
                <w:b/>
              </w:rPr>
              <w:t>Зміст дисципліни:</w:t>
            </w:r>
            <w:r>
              <w:rPr>
                <w:b/>
              </w:rPr>
              <w:t xml:space="preserve"> </w:t>
            </w:r>
          </w:p>
          <w:p w14:paraId="5287FBDF" w14:textId="4D3DCF33" w:rsidR="00E430D7" w:rsidRPr="000B378F" w:rsidRDefault="00E430D7" w:rsidP="00D57D58">
            <w:pPr>
              <w:jc w:val="both"/>
              <w:rPr>
                <w:i/>
                <w:color w:val="FF0000"/>
              </w:rPr>
            </w:pPr>
            <w:r w:rsidRPr="000B378F">
              <w:t>1. Поняття адвокатури, її завдання, організаційні форми, види і принципи адвокатської діяльності. Адвокатське самоврядування.</w:t>
            </w:r>
            <w:r>
              <w:t xml:space="preserve"> 2. </w:t>
            </w:r>
            <w:r w:rsidRPr="00F64C03">
              <w:t>Етика адвокатської діяльності.</w:t>
            </w:r>
            <w:r>
              <w:t xml:space="preserve"> 3. </w:t>
            </w:r>
            <w:r w:rsidRPr="00F64C03">
              <w:t>Здійснення адвокатами захисту та представництва в різних формах судочинства</w:t>
            </w:r>
            <w:r>
              <w:t xml:space="preserve">. 4. </w:t>
            </w:r>
            <w:r w:rsidRPr="009557C5">
              <w:t>Нотаріальна діяльність в Україні.  Поняття, завдання і функції нотаріального права.</w:t>
            </w:r>
            <w:r>
              <w:t xml:space="preserve"> 5. </w:t>
            </w:r>
            <w:r w:rsidRPr="009557C5">
              <w:t>Нотаріус як основний суб'єкт нотаріальних правовідносин. Система та компетенція нотаріальних органів.</w:t>
            </w:r>
            <w:r>
              <w:t xml:space="preserve"> 6. </w:t>
            </w:r>
            <w:r w:rsidRPr="00931495">
              <w:t>Нотаріус як основний суб'єкт нотаріальних правовідносин. Система та компетенція нотаріальних органів.</w:t>
            </w:r>
            <w:r>
              <w:t xml:space="preserve"> 7.</w:t>
            </w:r>
            <w:r w:rsidRPr="00931495">
              <w:t>Загальні правила вчинення нотаріальних дій</w:t>
            </w:r>
            <w:r>
              <w:t xml:space="preserve">. 8. </w:t>
            </w:r>
            <w:r w:rsidRPr="00931495">
              <w:t>Загальні правила посвідчення правочинів. Видача нотаріусом свідоцтв. Застосування нотаріусом законодавства іноземних держав</w:t>
            </w:r>
          </w:p>
          <w:p w14:paraId="45D67C2B" w14:textId="77777777" w:rsidR="00E430D7" w:rsidRPr="00F17A98" w:rsidRDefault="00E430D7" w:rsidP="00D57D58">
            <w:r w:rsidRPr="00445623">
              <w:rPr>
                <w:b/>
              </w:rPr>
              <w:t>Види занять:</w:t>
            </w:r>
            <w:r>
              <w:rPr>
                <w:b/>
              </w:rPr>
              <w:t xml:space="preserve"> </w:t>
            </w:r>
            <w:r w:rsidRPr="00F17A98">
              <w:t>лекції, практичні заняття</w:t>
            </w:r>
          </w:p>
          <w:p w14:paraId="50665583" w14:textId="77777777" w:rsidR="00E430D7" w:rsidRPr="00445623" w:rsidRDefault="00E430D7" w:rsidP="00D57D58">
            <w:pPr>
              <w:rPr>
                <w:b/>
              </w:rPr>
            </w:pPr>
            <w:r w:rsidRPr="00445623">
              <w:rPr>
                <w:b/>
              </w:rPr>
              <w:lastRenderedPageBreak/>
              <w:t>Методи навчання:</w:t>
            </w:r>
            <w:r>
              <w:rPr>
                <w:b/>
              </w:rPr>
              <w:t xml:space="preserve"> </w:t>
            </w:r>
            <w:r w:rsidRPr="00C45B24">
              <w:t>навчальна дискусія</w:t>
            </w:r>
            <w:r>
              <w:t xml:space="preserve">, </w:t>
            </w:r>
            <w:proofErr w:type="spellStart"/>
            <w:r>
              <w:t>ноозасоби</w:t>
            </w:r>
            <w:proofErr w:type="spellEnd"/>
            <w:r>
              <w:t>, креативні технології, інноваційні методики, дидактичні матеріали.</w:t>
            </w:r>
          </w:p>
          <w:p w14:paraId="00EB5EE8" w14:textId="60A94E72" w:rsidR="00E430D7" w:rsidRPr="00445623" w:rsidRDefault="00E430D7" w:rsidP="00D57D58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</w:rPr>
              <w:t>Форми навчання:</w:t>
            </w:r>
            <w:r>
              <w:rPr>
                <w:b/>
              </w:rPr>
              <w:t xml:space="preserve"> </w:t>
            </w:r>
            <w:r w:rsidRPr="00C45B24">
              <w:t xml:space="preserve">очна,  </w:t>
            </w:r>
            <w:r w:rsidR="00956C87">
              <w:t>заоч</w:t>
            </w:r>
            <w:r w:rsidRPr="00C45B24">
              <w:t>на</w:t>
            </w:r>
            <w:r w:rsidR="00D5658B">
              <w:t>, дистанційна</w:t>
            </w:r>
          </w:p>
        </w:tc>
      </w:tr>
      <w:tr w:rsidR="00E430D7" w14:paraId="03DE95E6" w14:textId="77777777" w:rsidTr="00D57D58">
        <w:tc>
          <w:tcPr>
            <w:tcW w:w="3261" w:type="dxa"/>
            <w:shd w:val="clear" w:color="auto" w:fill="FFFFFF"/>
          </w:tcPr>
          <w:p w14:paraId="2502FBA3" w14:textId="77777777" w:rsidR="00E430D7" w:rsidRPr="00445623" w:rsidRDefault="00E430D7" w:rsidP="00D57D58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445623">
              <w:rPr>
                <w:b/>
                <w:color w:val="000000"/>
                <w:shd w:val="clear" w:color="auto" w:fill="FFFFFF"/>
              </w:rPr>
              <w:lastRenderedPageBreak/>
              <w:t>Пререквізити</w:t>
            </w:r>
            <w:proofErr w:type="spellEnd"/>
          </w:p>
        </w:tc>
        <w:tc>
          <w:tcPr>
            <w:tcW w:w="7160" w:type="dxa"/>
            <w:gridSpan w:val="2"/>
          </w:tcPr>
          <w:p w14:paraId="7E7C5BE7" w14:textId="77777777" w:rsidR="00E430D7" w:rsidRPr="000B378F" w:rsidRDefault="00E430D7" w:rsidP="00D57D58">
            <w:pPr>
              <w:jc w:val="both"/>
              <w:rPr>
                <w:i/>
                <w:color w:val="FF0000"/>
                <w:shd w:val="clear" w:color="auto" w:fill="FFFFFF"/>
              </w:rPr>
            </w:pPr>
            <w:r w:rsidRPr="00E430D7">
              <w:t>«Теорія держави і права», «Юридична деонтологія», «Конституційне право України», «Організація судових та правоохоронних органів»</w:t>
            </w:r>
          </w:p>
        </w:tc>
      </w:tr>
      <w:tr w:rsidR="00E430D7" w14:paraId="7531203C" w14:textId="77777777" w:rsidTr="00D57D58">
        <w:tc>
          <w:tcPr>
            <w:tcW w:w="3261" w:type="dxa"/>
            <w:shd w:val="clear" w:color="auto" w:fill="FFFFFF"/>
          </w:tcPr>
          <w:p w14:paraId="0D29381A" w14:textId="77777777" w:rsidR="00E430D7" w:rsidRPr="00445623" w:rsidRDefault="00E430D7" w:rsidP="00D57D58">
            <w:pPr>
              <w:rPr>
                <w:b/>
              </w:rPr>
            </w:pPr>
            <w:proofErr w:type="spellStart"/>
            <w:r w:rsidRPr="00445623">
              <w:rPr>
                <w:b/>
                <w:color w:val="000000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7160" w:type="dxa"/>
            <w:gridSpan w:val="2"/>
          </w:tcPr>
          <w:p w14:paraId="015A02FC" w14:textId="77777777" w:rsidR="00E430D7" w:rsidRPr="000B378F" w:rsidRDefault="00E430D7" w:rsidP="00D57D58">
            <w:pPr>
              <w:jc w:val="both"/>
              <w:rPr>
                <w:i/>
                <w:color w:val="FF0000"/>
                <w:shd w:val="clear" w:color="auto" w:fill="FFFFFF"/>
              </w:rPr>
            </w:pPr>
            <w:r w:rsidRPr="00E430D7">
              <w:t xml:space="preserve">«Кримінальне процесуальне право України», «Цивільний процесуальне право України», </w:t>
            </w:r>
            <w:r>
              <w:t>«Господарський процес» та інші.</w:t>
            </w:r>
          </w:p>
        </w:tc>
      </w:tr>
      <w:tr w:rsidR="00E430D7" w14:paraId="23796E43" w14:textId="77777777" w:rsidTr="00D57D58">
        <w:tc>
          <w:tcPr>
            <w:tcW w:w="3261" w:type="dxa"/>
            <w:shd w:val="clear" w:color="auto" w:fill="FFFFFF"/>
          </w:tcPr>
          <w:p w14:paraId="78AEA1D2" w14:textId="77777777" w:rsidR="00E430D7" w:rsidRPr="00445623" w:rsidRDefault="00E430D7" w:rsidP="00D57D58">
            <w:pPr>
              <w:rPr>
                <w:b/>
              </w:rPr>
            </w:pPr>
            <w:r w:rsidRPr="00445623">
              <w:rPr>
                <w:b/>
              </w:rPr>
              <w:t>Інформаційне забезпечення</w:t>
            </w:r>
          </w:p>
          <w:p w14:paraId="5E82DC9D" w14:textId="77777777" w:rsidR="00E430D7" w:rsidRPr="00445623" w:rsidRDefault="00E430D7" w:rsidP="00D57D58">
            <w:pPr>
              <w:rPr>
                <w:b/>
              </w:rPr>
            </w:pPr>
            <w:r w:rsidRPr="00445623">
              <w:rPr>
                <w:b/>
              </w:rPr>
              <w:t xml:space="preserve">з </w:t>
            </w:r>
            <w:proofErr w:type="spellStart"/>
            <w:r w:rsidRPr="00445623">
              <w:rPr>
                <w:b/>
              </w:rPr>
              <w:t>репозитарію</w:t>
            </w:r>
            <w:proofErr w:type="spellEnd"/>
            <w:r w:rsidRPr="00445623">
              <w:rPr>
                <w:b/>
              </w:rPr>
              <w:t xml:space="preserve"> та фонду НТБ НАУ</w:t>
            </w:r>
          </w:p>
        </w:tc>
        <w:tc>
          <w:tcPr>
            <w:tcW w:w="7160" w:type="dxa"/>
            <w:gridSpan w:val="2"/>
          </w:tcPr>
          <w:p w14:paraId="7BE3610F" w14:textId="1DEAD36C" w:rsidR="00D5658B" w:rsidRDefault="00D5658B" w:rsidP="00D57D58">
            <w:pPr>
              <w:jc w:val="both"/>
              <w:rPr>
                <w:shd w:val="clear" w:color="auto" w:fill="FFFFFF"/>
              </w:rPr>
            </w:pPr>
            <w:r w:rsidRPr="007234FD">
              <w:rPr>
                <w:b/>
                <w:iCs/>
                <w:color w:val="0000FF"/>
              </w:rPr>
              <w:t>Навчальна та наукова література:</w:t>
            </w:r>
          </w:p>
          <w:p w14:paraId="5D565F74" w14:textId="5A3344CD" w:rsidR="00E430D7" w:rsidRPr="004837BA" w:rsidRDefault="00E430D7" w:rsidP="00D57D58">
            <w:pPr>
              <w:jc w:val="both"/>
              <w:rPr>
                <w:shd w:val="clear" w:color="auto" w:fill="FFFFFF"/>
              </w:rPr>
            </w:pPr>
            <w:r w:rsidRPr="004837BA">
              <w:rPr>
                <w:shd w:val="clear" w:color="auto" w:fill="FFFFFF"/>
              </w:rPr>
              <w:t>1.Фіолевський Д. П. Адвокатура: підручник.  3-тє вид., випр. і доп.  Київ: Алерта, 2014. 624 с.</w:t>
            </w:r>
          </w:p>
          <w:p w14:paraId="5598DEF9" w14:textId="77777777" w:rsidR="00E430D7" w:rsidRPr="004837BA" w:rsidRDefault="00E430D7" w:rsidP="00D57D58">
            <w:pPr>
              <w:jc w:val="both"/>
              <w:rPr>
                <w:shd w:val="clear" w:color="auto" w:fill="FFFFFF"/>
              </w:rPr>
            </w:pPr>
            <w:r w:rsidRPr="004837BA">
              <w:rPr>
                <w:shd w:val="clear" w:color="auto" w:fill="FFFFFF"/>
              </w:rPr>
              <w:t xml:space="preserve">2.Нотаріат України: Книга 1.Організація нотаріату з практикумом: </w:t>
            </w:r>
            <w:proofErr w:type="spellStart"/>
            <w:r w:rsidRPr="004837BA">
              <w:rPr>
                <w:shd w:val="clear" w:color="auto" w:fill="FFFFFF"/>
              </w:rPr>
              <w:t>підр</w:t>
            </w:r>
            <w:proofErr w:type="spellEnd"/>
            <w:r w:rsidRPr="004837BA">
              <w:rPr>
                <w:shd w:val="clear" w:color="auto" w:fill="FFFFFF"/>
              </w:rPr>
              <w:t xml:space="preserve">. у 3 кн. / за  </w:t>
            </w:r>
            <w:proofErr w:type="spellStart"/>
            <w:r w:rsidRPr="004837BA">
              <w:rPr>
                <w:shd w:val="clear" w:color="auto" w:fill="FFFFFF"/>
              </w:rPr>
              <w:t>заг.ред</w:t>
            </w:r>
            <w:proofErr w:type="spellEnd"/>
            <w:r w:rsidRPr="004837BA">
              <w:rPr>
                <w:shd w:val="clear" w:color="auto" w:fill="FFFFFF"/>
              </w:rPr>
              <w:t xml:space="preserve">. С.Я. </w:t>
            </w:r>
            <w:proofErr w:type="spellStart"/>
            <w:r w:rsidRPr="004837BA">
              <w:rPr>
                <w:shd w:val="clear" w:color="auto" w:fill="FFFFFF"/>
              </w:rPr>
              <w:t>Фурси</w:t>
            </w:r>
            <w:proofErr w:type="spellEnd"/>
            <w:r w:rsidRPr="004837BA">
              <w:rPr>
                <w:shd w:val="clear" w:color="auto" w:fill="FFFFFF"/>
              </w:rPr>
              <w:t>. 3-тє вид., доповн. і переробл..   Київ : Алерта, 2015. Кн. 1. 484 с.</w:t>
            </w:r>
          </w:p>
          <w:p w14:paraId="64AEDDA2" w14:textId="77777777" w:rsidR="00E430D7" w:rsidRPr="004837BA" w:rsidRDefault="00E430D7" w:rsidP="00D57D58">
            <w:pPr>
              <w:jc w:val="both"/>
              <w:rPr>
                <w:shd w:val="clear" w:color="auto" w:fill="FFFFFF"/>
              </w:rPr>
            </w:pPr>
            <w:r w:rsidRPr="004837BA">
              <w:rPr>
                <w:shd w:val="clear" w:color="auto" w:fill="FFFFFF"/>
              </w:rPr>
              <w:t>3. НМК</w:t>
            </w:r>
            <w:r>
              <w:rPr>
                <w:shd w:val="clear" w:color="auto" w:fill="FFFFFF"/>
              </w:rPr>
              <w:t xml:space="preserve"> «Адвокатура та нотаріат України» (</w:t>
            </w:r>
            <w:proofErr w:type="spellStart"/>
            <w:r>
              <w:rPr>
                <w:shd w:val="clear" w:color="auto" w:fill="FFFFFF"/>
              </w:rPr>
              <w:t>репозитарій</w:t>
            </w:r>
            <w:proofErr w:type="spellEnd"/>
            <w:r>
              <w:rPr>
                <w:shd w:val="clear" w:color="auto" w:fill="FFFFFF"/>
              </w:rPr>
              <w:t xml:space="preserve"> НАУ)</w:t>
            </w:r>
          </w:p>
        </w:tc>
      </w:tr>
      <w:tr w:rsidR="00E430D7" w14:paraId="1430B06E" w14:textId="77777777" w:rsidTr="00D57D58">
        <w:tc>
          <w:tcPr>
            <w:tcW w:w="3261" w:type="dxa"/>
            <w:shd w:val="clear" w:color="auto" w:fill="FFFFFF"/>
          </w:tcPr>
          <w:p w14:paraId="0487D516" w14:textId="77777777" w:rsidR="00E430D7" w:rsidRPr="00445623" w:rsidRDefault="00E430D7" w:rsidP="00D57D58">
            <w:pPr>
              <w:rPr>
                <w:b/>
              </w:rPr>
            </w:pPr>
            <w:r w:rsidRPr="00445623">
              <w:rPr>
                <w:b/>
              </w:rPr>
              <w:t>Локація та матеріально-технічне забезпечення</w:t>
            </w:r>
          </w:p>
        </w:tc>
        <w:tc>
          <w:tcPr>
            <w:tcW w:w="7160" w:type="dxa"/>
            <w:gridSpan w:val="2"/>
          </w:tcPr>
          <w:p w14:paraId="6A06712D" w14:textId="77777777" w:rsidR="00E430D7" w:rsidRPr="00C45B24" w:rsidRDefault="00E430D7" w:rsidP="00D57D58">
            <w:r>
              <w:t>Аудиторія практичного навчання</w:t>
            </w:r>
          </w:p>
        </w:tc>
      </w:tr>
      <w:tr w:rsidR="00E430D7" w14:paraId="1174F3F5" w14:textId="77777777" w:rsidTr="00D57D58">
        <w:tc>
          <w:tcPr>
            <w:tcW w:w="3261" w:type="dxa"/>
            <w:shd w:val="clear" w:color="auto" w:fill="FFFFFF"/>
          </w:tcPr>
          <w:p w14:paraId="2AED20B6" w14:textId="77777777" w:rsidR="00E430D7" w:rsidRPr="00445623" w:rsidRDefault="00E430D7" w:rsidP="00D57D58">
            <w:pPr>
              <w:rPr>
                <w:b/>
              </w:rPr>
            </w:pPr>
            <w:r w:rsidRPr="00445623">
              <w:rPr>
                <w:b/>
              </w:rPr>
              <w:t>Семестровий контроль, екзаменаційна методика</w:t>
            </w:r>
          </w:p>
        </w:tc>
        <w:tc>
          <w:tcPr>
            <w:tcW w:w="7160" w:type="dxa"/>
            <w:gridSpan w:val="2"/>
          </w:tcPr>
          <w:p w14:paraId="660CBB29" w14:textId="77777777" w:rsidR="00E430D7" w:rsidRPr="00FB7177" w:rsidRDefault="00E430D7" w:rsidP="00D57D5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Диференційований залік </w:t>
            </w:r>
          </w:p>
        </w:tc>
      </w:tr>
      <w:tr w:rsidR="00E430D7" w14:paraId="5AE2C11A" w14:textId="77777777" w:rsidTr="00D57D58">
        <w:tc>
          <w:tcPr>
            <w:tcW w:w="3261" w:type="dxa"/>
            <w:shd w:val="clear" w:color="auto" w:fill="FFFFFF"/>
          </w:tcPr>
          <w:p w14:paraId="4EBFAC3C" w14:textId="77777777" w:rsidR="00E430D7" w:rsidRPr="00445623" w:rsidRDefault="00E430D7" w:rsidP="00D57D58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Кафедра</w:t>
            </w:r>
          </w:p>
        </w:tc>
        <w:tc>
          <w:tcPr>
            <w:tcW w:w="7160" w:type="dxa"/>
            <w:gridSpan w:val="2"/>
          </w:tcPr>
          <w:p w14:paraId="2A3F5669" w14:textId="77777777" w:rsidR="00E430D7" w:rsidRPr="007409CA" w:rsidRDefault="00E430D7" w:rsidP="00D57D58">
            <w:pPr>
              <w:rPr>
                <w:color w:val="000000"/>
                <w:shd w:val="clear" w:color="auto" w:fill="FFFFFF"/>
              </w:rPr>
            </w:pPr>
            <w:r w:rsidRPr="007409CA">
              <w:rPr>
                <w:color w:val="000000"/>
                <w:shd w:val="clear" w:color="auto" w:fill="FFFFFF"/>
              </w:rPr>
              <w:t>кримінального права і процесу</w:t>
            </w:r>
          </w:p>
        </w:tc>
      </w:tr>
      <w:tr w:rsidR="00E430D7" w14:paraId="1BCD4C6D" w14:textId="77777777" w:rsidTr="00D57D58">
        <w:tc>
          <w:tcPr>
            <w:tcW w:w="3261" w:type="dxa"/>
            <w:shd w:val="clear" w:color="auto" w:fill="FFFFFF"/>
          </w:tcPr>
          <w:p w14:paraId="4816DCCF" w14:textId="77777777" w:rsidR="00E430D7" w:rsidRPr="00445623" w:rsidRDefault="00E430D7" w:rsidP="00D57D58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  <w:gridSpan w:val="2"/>
          </w:tcPr>
          <w:p w14:paraId="3021CD4A" w14:textId="77777777" w:rsidR="00E430D7" w:rsidRPr="007409CA" w:rsidRDefault="00E430D7" w:rsidP="00D57D5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юридичний </w:t>
            </w:r>
          </w:p>
        </w:tc>
      </w:tr>
      <w:tr w:rsidR="00E430D7" w14:paraId="64A95150" w14:textId="77777777" w:rsidTr="00D57D58">
        <w:trPr>
          <w:trHeight w:val="1959"/>
        </w:trPr>
        <w:tc>
          <w:tcPr>
            <w:tcW w:w="3261" w:type="dxa"/>
            <w:shd w:val="clear" w:color="auto" w:fill="FFFFFF"/>
          </w:tcPr>
          <w:p w14:paraId="2DF9C272" w14:textId="77777777" w:rsidR="00E430D7" w:rsidRPr="00445623" w:rsidRDefault="00E430D7" w:rsidP="00D57D58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Викладач(і)</w:t>
            </w:r>
          </w:p>
        </w:tc>
        <w:tc>
          <w:tcPr>
            <w:tcW w:w="1559" w:type="dxa"/>
          </w:tcPr>
          <w:p w14:paraId="61A568E0" w14:textId="77777777" w:rsidR="00E430D7" w:rsidRPr="00445623" w:rsidRDefault="00E430D7" w:rsidP="00D57D58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01C8E535" wp14:editId="130DC5B3">
                  <wp:extent cx="807720" cy="1211580"/>
                  <wp:effectExtent l="0" t="0" r="0" b="7620"/>
                  <wp:docPr id="1" name="Рисунок 1" descr="http://www.law.nau.edu.ua/images/stories/Caf_1/Litviniva_Vell_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law.nau.edu.ua/images/stories/Caf_1/Litviniva_Vell_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1" w:type="dxa"/>
          </w:tcPr>
          <w:p w14:paraId="21B554EF" w14:textId="77777777" w:rsidR="00E430D7" w:rsidRDefault="00E430D7" w:rsidP="00D57D58">
            <w:pPr>
              <w:rPr>
                <w:b/>
              </w:rPr>
            </w:pPr>
            <w:r>
              <w:rPr>
                <w:b/>
              </w:rPr>
              <w:t>ЛІТВІНОВА ІРИНА ФЕОФАНІВНА</w:t>
            </w:r>
          </w:p>
          <w:p w14:paraId="44881C75" w14:textId="77777777" w:rsidR="00E430D7" w:rsidRPr="0052379D" w:rsidRDefault="00E430D7" w:rsidP="00D57D58">
            <w:r w:rsidRPr="00445623">
              <w:rPr>
                <w:b/>
              </w:rPr>
              <w:t xml:space="preserve">Посада: </w:t>
            </w:r>
            <w:r>
              <w:t>доцент кафедри кримінального права і процесу</w:t>
            </w:r>
          </w:p>
          <w:p w14:paraId="34B880DB" w14:textId="77777777" w:rsidR="00E430D7" w:rsidRPr="00445623" w:rsidRDefault="00E430D7" w:rsidP="00D57D58">
            <w:pPr>
              <w:rPr>
                <w:b/>
              </w:rPr>
            </w:pPr>
            <w:r w:rsidRPr="00445623">
              <w:rPr>
                <w:b/>
              </w:rPr>
              <w:t xml:space="preserve">Вчений ступінь: </w:t>
            </w:r>
            <w:r w:rsidRPr="0052379D">
              <w:t>доцент</w:t>
            </w:r>
          </w:p>
          <w:p w14:paraId="25342EEC" w14:textId="77777777" w:rsidR="00E430D7" w:rsidRPr="00E3794A" w:rsidRDefault="00E430D7" w:rsidP="00D57D58">
            <w:pPr>
              <w:rPr>
                <w:rStyle w:val="a3"/>
              </w:rPr>
            </w:pPr>
            <w:proofErr w:type="spellStart"/>
            <w:r w:rsidRPr="00445623">
              <w:rPr>
                <w:b/>
              </w:rPr>
              <w:t>Профайл</w:t>
            </w:r>
            <w:proofErr w:type="spellEnd"/>
            <w:r w:rsidRPr="00445623">
              <w:rPr>
                <w:b/>
              </w:rPr>
              <w:t xml:space="preserve"> викладача:</w:t>
            </w:r>
            <w:r>
              <w:rPr>
                <w:b/>
              </w:rPr>
              <w:t xml:space="preserve"> </w:t>
            </w:r>
            <w:hyperlink r:id="rId7" w:history="1">
              <w:r w:rsidRPr="00E3794A">
                <w:rPr>
                  <w:color w:val="000000"/>
                  <w:shd w:val="clear" w:color="auto" w:fill="FFFFFF"/>
                </w:rPr>
                <w:t>http://www.law.nau.edu.ua/uk/caphedras/chair2/2335-litvinova-iryna-</w:t>
              </w:r>
            </w:hyperlink>
          </w:p>
          <w:p w14:paraId="5DF8D3A6" w14:textId="77777777" w:rsidR="00E430D7" w:rsidRPr="00445623" w:rsidRDefault="00E430D7" w:rsidP="00D57D58">
            <w:pPr>
              <w:rPr>
                <w:b/>
              </w:rPr>
            </w:pPr>
            <w:r w:rsidRPr="00445623">
              <w:rPr>
                <w:b/>
              </w:rPr>
              <w:t xml:space="preserve">Тел.: </w:t>
            </w:r>
            <w:r w:rsidRPr="00DE37FE">
              <w:rPr>
                <w:color w:val="000000"/>
                <w:shd w:val="clear" w:color="auto" w:fill="FFFFFF"/>
              </w:rPr>
              <w:t>044 406 70 15</w:t>
            </w:r>
          </w:p>
          <w:p w14:paraId="2DDC5ED3" w14:textId="77777777" w:rsidR="00E430D7" w:rsidRPr="00612295" w:rsidRDefault="00E430D7" w:rsidP="00D57D58">
            <w:pPr>
              <w:rPr>
                <w:color w:val="000000"/>
                <w:shd w:val="clear" w:color="auto" w:fill="FFFFFF"/>
              </w:rPr>
            </w:pPr>
            <w:r w:rsidRPr="00445623">
              <w:rPr>
                <w:b/>
              </w:rPr>
              <w:t>E-</w:t>
            </w:r>
            <w:proofErr w:type="spellStart"/>
            <w:r w:rsidRPr="00445623">
              <w:rPr>
                <w:b/>
              </w:rPr>
              <w:t>mail</w:t>
            </w:r>
            <w:proofErr w:type="spellEnd"/>
            <w:r w:rsidRPr="00445623">
              <w:rPr>
                <w:b/>
              </w:rPr>
              <w:t xml:space="preserve">: </w:t>
            </w:r>
            <w:r w:rsidRPr="00A16FBD">
              <w:rPr>
                <w:lang w:val="fr-FR"/>
              </w:rPr>
              <w:t>iryna</w:t>
            </w:r>
            <w:r w:rsidRPr="00612295">
              <w:rPr>
                <w:color w:val="000000"/>
                <w:shd w:val="clear" w:color="auto" w:fill="FFFFFF"/>
              </w:rPr>
              <w:t>.</w:t>
            </w:r>
            <w:r w:rsidRPr="00A16FBD">
              <w:rPr>
                <w:color w:val="000000"/>
                <w:shd w:val="clear" w:color="auto" w:fill="FFFFFF"/>
                <w:lang w:val="fr-FR"/>
              </w:rPr>
              <w:t>litvinova</w:t>
            </w:r>
            <w:r w:rsidRPr="00612295">
              <w:rPr>
                <w:color w:val="000000"/>
                <w:shd w:val="clear" w:color="auto" w:fill="FFFFFF"/>
              </w:rPr>
              <w:t>@npp.nau.edu.ua</w:t>
            </w:r>
          </w:p>
          <w:p w14:paraId="7A2E7E1E" w14:textId="77777777" w:rsidR="00E430D7" w:rsidRPr="00445623" w:rsidRDefault="00E430D7" w:rsidP="00D57D58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</w:rPr>
              <w:t>Робоче місце:</w:t>
            </w:r>
            <w:r>
              <w:rPr>
                <w:b/>
              </w:rPr>
              <w:t xml:space="preserve"> </w:t>
            </w:r>
            <w:r w:rsidRPr="00B87A86">
              <w:t>1-448</w:t>
            </w:r>
          </w:p>
        </w:tc>
      </w:tr>
      <w:tr w:rsidR="00E430D7" w14:paraId="2E09C9F1" w14:textId="77777777" w:rsidTr="00D57D58">
        <w:tc>
          <w:tcPr>
            <w:tcW w:w="3261" w:type="dxa"/>
            <w:shd w:val="clear" w:color="auto" w:fill="FFFFFF"/>
          </w:tcPr>
          <w:p w14:paraId="4EA15330" w14:textId="77777777" w:rsidR="00E430D7" w:rsidRPr="00445623" w:rsidRDefault="00E430D7" w:rsidP="00D57D58">
            <w:pPr>
              <w:rPr>
                <w:b/>
              </w:rPr>
            </w:pPr>
            <w:r w:rsidRPr="00445623">
              <w:rPr>
                <w:b/>
              </w:rPr>
              <w:t>Оригінальність навчальної дисципліни</w:t>
            </w:r>
          </w:p>
        </w:tc>
        <w:tc>
          <w:tcPr>
            <w:tcW w:w="7160" w:type="dxa"/>
            <w:gridSpan w:val="2"/>
          </w:tcPr>
          <w:p w14:paraId="1E012C36" w14:textId="77777777" w:rsidR="00E430D7" w:rsidRPr="00B55302" w:rsidRDefault="00E430D7" w:rsidP="00D57D58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Авторський курс</w:t>
            </w:r>
          </w:p>
        </w:tc>
      </w:tr>
      <w:tr w:rsidR="00E430D7" w14:paraId="504A7950" w14:textId="77777777" w:rsidTr="00D57D58">
        <w:tc>
          <w:tcPr>
            <w:tcW w:w="3261" w:type="dxa"/>
            <w:shd w:val="clear" w:color="auto" w:fill="FFFFFF"/>
          </w:tcPr>
          <w:p w14:paraId="4894F07A" w14:textId="77777777" w:rsidR="00E430D7" w:rsidRPr="00445623" w:rsidRDefault="00E430D7" w:rsidP="00D57D58">
            <w:pPr>
              <w:rPr>
                <w:b/>
              </w:rPr>
            </w:pPr>
            <w:r w:rsidRPr="00445623">
              <w:rPr>
                <w:b/>
              </w:rPr>
              <w:t>Лінк на дисципліну</w:t>
            </w:r>
          </w:p>
        </w:tc>
        <w:tc>
          <w:tcPr>
            <w:tcW w:w="7160" w:type="dxa"/>
            <w:gridSpan w:val="2"/>
          </w:tcPr>
          <w:p w14:paraId="1604C6C7" w14:textId="62C60C56" w:rsidR="00E430D7" w:rsidRPr="00D5658B" w:rsidRDefault="00D5658B" w:rsidP="00D57D58">
            <w:pPr>
              <w:jc w:val="both"/>
              <w:rPr>
                <w:i/>
                <w:iCs/>
                <w:color w:val="FF0000"/>
                <w:shd w:val="clear" w:color="auto" w:fill="FFFFFF"/>
              </w:rPr>
            </w:pPr>
            <w:r w:rsidRPr="00D5658B">
              <w:rPr>
                <w:i/>
                <w:iCs/>
                <w:shd w:val="clear" w:color="auto" w:fill="FFFFFF"/>
              </w:rPr>
              <w:t xml:space="preserve">В розробці </w:t>
            </w:r>
          </w:p>
        </w:tc>
      </w:tr>
    </w:tbl>
    <w:p w14:paraId="541CD4AB" w14:textId="77777777" w:rsidR="00E430D7" w:rsidRPr="00A97BFB" w:rsidRDefault="00E430D7" w:rsidP="00E430D7">
      <w:pPr>
        <w:jc w:val="both"/>
        <w:rPr>
          <w:color w:val="000000"/>
          <w:sz w:val="12"/>
          <w:szCs w:val="12"/>
        </w:rPr>
      </w:pPr>
    </w:p>
    <w:p w14:paraId="71177F75" w14:textId="77777777" w:rsidR="001B47CA" w:rsidRDefault="001B47CA"/>
    <w:sectPr w:rsidR="001B47CA" w:rsidSect="00A97B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1853"/>
    <w:multiLevelType w:val="hybridMultilevel"/>
    <w:tmpl w:val="B67A1FC2"/>
    <w:lvl w:ilvl="0" w:tplc="F6C693F0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1BAC12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FF"/>
    <w:rsid w:val="001B47CA"/>
    <w:rsid w:val="0047308B"/>
    <w:rsid w:val="00695EFF"/>
    <w:rsid w:val="008B2305"/>
    <w:rsid w:val="00914E81"/>
    <w:rsid w:val="00956C87"/>
    <w:rsid w:val="00BA4B1B"/>
    <w:rsid w:val="00D5658B"/>
    <w:rsid w:val="00E4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FE19"/>
  <w15:docId w15:val="{441190C5-6DBA-42D1-AF17-372725B8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30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3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0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w.nau.edu.ua/uk/caphedras/chair2/2335-litvinova-iryna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4680</Words>
  <Characters>2668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2021-06-13T15:58:00Z</dcterms:created>
  <dcterms:modified xsi:type="dcterms:W3CDTF">2021-06-13T15:59:00Z</dcterms:modified>
</cp:coreProperties>
</file>