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03883" w14:textId="77777777" w:rsidR="00276B6C" w:rsidRDefault="00276B6C">
      <w:pPr>
        <w:spacing w:after="0" w:line="100" w:lineRule="atLea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74F29A" w14:textId="77777777" w:rsidR="00276B6C" w:rsidRDefault="00276B6C">
      <w:pPr>
        <w:spacing w:after="0" w:line="100" w:lineRule="atLeast"/>
        <w:ind w:left="567"/>
        <w:jc w:val="right"/>
      </w:pPr>
      <w:r>
        <w:rPr>
          <w:rFonts w:ascii="Times New Roman" w:hAnsi="Times New Roman"/>
          <w:b/>
          <w:color w:val="000000"/>
          <w:sz w:val="24"/>
          <w:szCs w:val="24"/>
        </w:rPr>
        <w:t>(Ф 21.01 - 02)</w:t>
      </w:r>
    </w:p>
    <w:tbl>
      <w:tblPr>
        <w:tblW w:w="104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580"/>
      </w:tblGrid>
      <w:tr w:rsidR="00276B6C" w14:paraId="207108E8" w14:textId="77777777" w:rsidTr="00BB0F02">
        <w:trPr>
          <w:trHeight w:val="2131"/>
        </w:trPr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BED5" w14:textId="2F218D7F" w:rsidR="00276B6C" w:rsidRDefault="006B671D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7FF336C" wp14:editId="050515C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67945</wp:posOffset>
                  </wp:positionV>
                  <wp:extent cx="1570990" cy="1441450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216" y="21410"/>
                      <wp:lineTo x="2121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44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A5B3C" w14:textId="77777777" w:rsidR="002D237F" w:rsidRPr="00570B13" w:rsidRDefault="002D237F" w:rsidP="002D2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7948AE2F" w14:textId="47873CA5" w:rsidR="002D237F" w:rsidRPr="00570B13" w:rsidRDefault="002D237F" w:rsidP="002D2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КРИМІНАЛЬНО-ПРАВОВІ ЗАСОБИ ЗАХИСТУ СІМЕЙНИХ ПРАВОВІДНОСИН</w:t>
            </w: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44F3E20" w14:textId="77777777" w:rsidR="002D237F" w:rsidRPr="00570B13" w:rsidRDefault="002D237F" w:rsidP="002D2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14:paraId="1F0F57F9" w14:textId="77777777" w:rsidR="002D237F" w:rsidRPr="008630A6" w:rsidRDefault="002D237F" w:rsidP="002D23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 знань: 26  «Цивільна безпека»</w:t>
            </w:r>
          </w:p>
          <w:p w14:paraId="1378E836" w14:textId="2AAEB929" w:rsidR="00276B6C" w:rsidRPr="009A19C3" w:rsidRDefault="002D237F" w:rsidP="002D237F">
            <w:pPr>
              <w:rPr>
                <w:lang w:val="ru-RU"/>
              </w:rPr>
            </w:pP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«Правоохоронна діяльність»</w:t>
            </w:r>
          </w:p>
        </w:tc>
      </w:tr>
      <w:tr w:rsidR="00276B6C" w14:paraId="6B8ABF7E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F62FB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0196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276B6C" w14:paraId="5ED63074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1231C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B707" w14:textId="0EC5BE7E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Навчальна дисципліна </w:t>
            </w:r>
            <w:proofErr w:type="spellStart"/>
            <w:r w:rsidR="002D237F">
              <w:rPr>
                <w:rFonts w:ascii="Times New Roman" w:hAnsi="Times New Roman"/>
                <w:color w:val="000000"/>
                <w:sz w:val="24"/>
                <w:szCs w:val="24"/>
              </w:rPr>
              <w:t>обовʼязкового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компонента </w:t>
            </w:r>
            <w:r w:rsidR="002D237F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</w:p>
        </w:tc>
      </w:tr>
      <w:tr w:rsidR="00276B6C" w14:paraId="1E8F1E1C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DB2B9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4237" w14:textId="77777777" w:rsidR="00276B6C" w:rsidRDefault="00276B6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(четвертий)</w:t>
            </w:r>
          </w:p>
        </w:tc>
      </w:tr>
      <w:tr w:rsidR="00276B6C" w14:paraId="59DE0607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E1C0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6AD2" w14:textId="77777777" w:rsidR="00276B6C" w:rsidRDefault="00276B6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весняний</w:t>
            </w:r>
          </w:p>
        </w:tc>
      </w:tr>
      <w:tr w:rsidR="00276B6C" w14:paraId="2D2460AB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A319B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Обсяг дисципліни, </w:t>
            </w:r>
          </w:p>
          <w:p w14:paraId="776DD2D5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кредити ЄКТС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години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392D" w14:textId="77777777" w:rsidR="00276B6C" w:rsidRDefault="00C9596B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 кредити/1</w:t>
            </w:r>
            <w:r w:rsidR="00276B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76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</w:t>
            </w:r>
          </w:p>
        </w:tc>
      </w:tr>
      <w:tr w:rsidR="00276B6C" w14:paraId="4C41B242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5A7C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2323" w14:textId="77777777" w:rsidR="00276B6C" w:rsidRDefault="00276B6C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276B6C" w14:paraId="45A7F26D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05ED4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BA17" w14:textId="2D25E4F8" w:rsidR="00276B6C" w:rsidRDefault="002D237F" w:rsidP="002D237F">
            <w:pPr>
              <w:spacing w:after="0" w:line="100" w:lineRule="atLeas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hAnsi="Times New Roman"/>
                <w:sz w:val="24"/>
                <w:szCs w:val="24"/>
              </w:rPr>
              <w:t>Кримінально-правові засоби захисту сімейних правовідносин</w:t>
            </w:r>
            <w:r w:rsidRPr="00C959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76B6C" w:rsidRPr="000F0D33">
              <w:rPr>
                <w:rFonts w:ascii="Times New Roman" w:hAnsi="Times New Roman"/>
                <w:sz w:val="24"/>
                <w:szCs w:val="24"/>
              </w:rPr>
              <w:t>є заключним етапом вивчення фундаментальної юридичної науки – кримінальне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Здобувачі вищої освіти </w:t>
            </w:r>
            <w:r w:rsidR="00276B6C" w:rsidRPr="000F0D33">
              <w:rPr>
                <w:rFonts w:ascii="Times New Roman" w:hAnsi="Times New Roman"/>
                <w:sz w:val="24"/>
                <w:szCs w:val="24"/>
              </w:rPr>
              <w:t xml:space="preserve"> поглиблюють правові знання, вдосконалюють навички професійної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вивчаючи </w:t>
            </w:r>
            <w:r w:rsidR="00276B6C" w:rsidRPr="000F0D33">
              <w:rPr>
                <w:rFonts w:ascii="Times New Roman" w:hAnsi="Times New Roman"/>
                <w:sz w:val="24"/>
                <w:szCs w:val="24"/>
              </w:rPr>
              <w:t>особливост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76B6C" w:rsidRPr="000F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складів кримінальних правопорушень, що посягають на сімейні правовідносини, опановують основні теоретичні засади кваліфікації кримінальних правопорушень, що посягають на сімейні правовідносини.</w:t>
            </w:r>
          </w:p>
        </w:tc>
      </w:tr>
      <w:tr w:rsidR="00276B6C" w14:paraId="18F6495A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C12FE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A337" w14:textId="06E439CC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Метою викладання навчальної дисципліни </w:t>
            </w:r>
            <w:r w:rsidR="00C9596B" w:rsidRPr="00C9596B">
              <w:rPr>
                <w:rFonts w:ascii="Times New Roman" w:hAnsi="Times New Roman"/>
                <w:sz w:val="24"/>
                <w:szCs w:val="24"/>
              </w:rPr>
              <w:t>«</w:t>
            </w:r>
            <w:r w:rsidR="002D237F">
              <w:rPr>
                <w:rFonts w:ascii="Times New Roman" w:hAnsi="Times New Roman"/>
                <w:sz w:val="24"/>
                <w:szCs w:val="24"/>
              </w:rPr>
              <w:t>Кримінально-правові засоби захисту сімейних правовідносин</w:t>
            </w:r>
            <w:r w:rsidR="00C9596B" w:rsidRPr="00C959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D237F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теоретичних знань в галузі кримінально-правової охорони </w:t>
            </w:r>
            <w:r w:rsidR="002D237F">
              <w:rPr>
                <w:rFonts w:ascii="Times New Roman" w:hAnsi="Times New Roman"/>
                <w:sz w:val="24"/>
                <w:szCs w:val="24"/>
              </w:rPr>
              <w:t xml:space="preserve">сімейних правовідносин </w:t>
            </w:r>
            <w:r>
              <w:rPr>
                <w:rFonts w:ascii="Times New Roman" w:hAnsi="Times New Roman"/>
                <w:sz w:val="24"/>
                <w:szCs w:val="24"/>
              </w:rPr>
              <w:t>та практичних навичок їх</w:t>
            </w:r>
            <w:r w:rsidR="002D237F">
              <w:rPr>
                <w:rFonts w:ascii="Times New Roman" w:hAnsi="Times New Roman"/>
                <w:sz w:val="24"/>
                <w:szCs w:val="24"/>
              </w:rPr>
              <w:t xml:space="preserve"> кваліфікації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конкретних життєвих ситуаціях, формування правової культури при практичному застосуванні цих норм кримінального законодавства.</w:t>
            </w:r>
          </w:p>
        </w:tc>
      </w:tr>
      <w:tr w:rsidR="00276B6C" w14:paraId="2A83BC35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8C967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42C4" w14:textId="6264B320" w:rsidR="006B671D" w:rsidRPr="00570B13" w:rsidRDefault="006B671D" w:rsidP="006B6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Виокремлювати юридично значущі факти і формувати обґрунтовані правові висновки.  </w:t>
            </w:r>
          </w:p>
          <w:p w14:paraId="4C7C1598" w14:textId="77777777" w:rsidR="006B671D" w:rsidRPr="00570B13" w:rsidRDefault="006B671D" w:rsidP="006B6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1EE3F6E7" w14:textId="4F55517E" w:rsidR="00276B6C" w:rsidRDefault="006B671D" w:rsidP="006B671D">
            <w:pPr>
              <w:spacing w:after="0" w:line="100" w:lineRule="atLeas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Знати і розуміти відповідні вимоги законодавства, </w:t>
            </w:r>
            <w:proofErr w:type="spellStart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грамотно</w:t>
            </w:r>
            <w:proofErr w:type="spellEnd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276B6C" w14:paraId="3703015F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81140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9A6D" w14:textId="77777777" w:rsidR="006B671D" w:rsidRPr="00570B13" w:rsidRDefault="006B671D" w:rsidP="006B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6E5742A1" w14:textId="77777777" w:rsidR="006B671D" w:rsidRPr="00570B13" w:rsidRDefault="006B671D" w:rsidP="006B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приймати обґрунтовані рішення.  </w:t>
            </w:r>
          </w:p>
          <w:p w14:paraId="24A3FE12" w14:textId="77777777" w:rsidR="006B671D" w:rsidRPr="00570B13" w:rsidRDefault="006B671D" w:rsidP="006B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4256BB73" w14:textId="77777777" w:rsidR="006B671D" w:rsidRPr="00570B13" w:rsidRDefault="006B671D" w:rsidP="006B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14620C7D" w14:textId="77777777" w:rsidR="006B671D" w:rsidRPr="00570B13" w:rsidRDefault="006B671D" w:rsidP="006B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1085C57F" w14:textId="77777777" w:rsidR="006B671D" w:rsidRPr="00570B13" w:rsidRDefault="006B671D" w:rsidP="006B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4D7C5CDA" w14:textId="76F64172" w:rsidR="00276B6C" w:rsidRPr="009A19C3" w:rsidRDefault="006B671D" w:rsidP="006B671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70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276B6C" w14:paraId="2668FB62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5BC1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9E1B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30A64AE5" w14:textId="77777777" w:rsidR="00BD54E6" w:rsidRDefault="00C9596B" w:rsidP="00DF4B7C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Концептуальн</w:t>
            </w:r>
            <w:proofErr w:type="spellEnd"/>
            <w:r w:rsidRPr="00BD54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і основи </w:t>
            </w:r>
            <w:r w:rsidR="00BD54E6" w:rsidRPr="00BD54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кримінально-правового </w:t>
            </w:r>
            <w:r w:rsidRPr="00BD54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захисту сімейних правовідносин. </w:t>
            </w:r>
          </w:p>
          <w:p w14:paraId="3CBCFC79" w14:textId="47E03D02" w:rsidR="00BD54E6" w:rsidRDefault="00BD54E6" w:rsidP="00DF4B7C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Систематизація та класифікація кримінальних правопорушень проти сім'ї та неповнолітніх осіб.</w:t>
            </w:r>
          </w:p>
          <w:p w14:paraId="2AD63E92" w14:textId="74AED023" w:rsidR="00DF4B7C" w:rsidRDefault="00DF4B7C" w:rsidP="00DF4B7C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="00C9596B" w:rsidRPr="00BD54E6">
              <w:rPr>
                <w:rFonts w:ascii="Times New Roman" w:hAnsi="Times New Roman"/>
                <w:spacing w:val="-4"/>
                <w:sz w:val="24"/>
                <w:szCs w:val="24"/>
              </w:rPr>
              <w:t>Особливості кваліфікації кримінальних правопорушень проти сім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ейних правовідносин.</w:t>
            </w:r>
          </w:p>
          <w:p w14:paraId="1AF244FB" w14:textId="5DCD5F84" w:rsidR="00C9596B" w:rsidRPr="00BD54E6" w:rsidRDefault="00C9596B" w:rsidP="00DF4B7C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54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Кримінальна відповідальність за злочини проти сім’ї в зарубіжних країнах: порівняльний аспект. </w:t>
            </w:r>
          </w:p>
          <w:p w14:paraId="5B4D1C7C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384AAFF1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>навчальна дискусія, ноозасоби, креативні технології, інноваційні методики, дидактичні матеріали.</w:t>
            </w:r>
          </w:p>
          <w:p w14:paraId="244C83CC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276B6C" w14:paraId="25B57DDE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A303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7DB5" w14:textId="519FC8BF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Кримінальне право</w:t>
            </w:r>
            <w:r w:rsidR="002D237F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237F">
              <w:rPr>
                <w:rFonts w:ascii="Times New Roman" w:hAnsi="Times New Roman"/>
                <w:sz w:val="24"/>
                <w:szCs w:val="24"/>
              </w:rPr>
              <w:t>Кримінологія, Кримінально-виконавче право</w:t>
            </w:r>
          </w:p>
        </w:tc>
      </w:tr>
      <w:tr w:rsidR="00276B6C" w14:paraId="49CF5C44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A83E4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Пореквізити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9E4B" w14:textId="75D7837E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Актуальні проблеми кримінального права</w:t>
            </w:r>
            <w:r w:rsidR="002D237F">
              <w:rPr>
                <w:rFonts w:ascii="Times New Roman" w:hAnsi="Times New Roman"/>
                <w:sz w:val="24"/>
                <w:szCs w:val="24"/>
              </w:rPr>
              <w:t>, Теоретичні основи кваліфікації кримінальних правопорушень</w:t>
            </w:r>
          </w:p>
        </w:tc>
      </w:tr>
      <w:tr w:rsidR="00276B6C" w14:paraId="4E4C715A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37F4F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0E07D50A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C0C0" w14:textId="77777777" w:rsidR="002D237F" w:rsidRDefault="002D237F" w:rsidP="002D23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01641FFE" w14:textId="792C034D" w:rsidR="00BD54E6" w:rsidRPr="00BD54E6" w:rsidRDefault="00BD54E6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Лихова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4E6">
              <w:rPr>
                <w:rFonts w:ascii="Times New Roman" w:hAnsi="Times New Roman"/>
                <w:sz w:val="24"/>
                <w:szCs w:val="24"/>
              </w:rPr>
              <w:t>С. Я. (2006). Злочини у сфері реалізації громадянських, політичних та соціальних прав і свобод людини і громадянина (розділ V Особливої частини КК України).</w:t>
            </w:r>
          </w:p>
          <w:p w14:paraId="7F195993" w14:textId="77777777" w:rsidR="00BD54E6" w:rsidRDefault="00BD54E6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Морозюк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D54E6">
              <w:rPr>
                <w:rFonts w:ascii="Times New Roman" w:hAnsi="Times New Roman"/>
                <w:sz w:val="24"/>
                <w:szCs w:val="24"/>
              </w:rPr>
              <w:t>.</w:t>
            </w:r>
            <w:r w:rsidRPr="00BD54E6">
              <w:rPr>
                <w:rFonts w:ascii="Times New Roman" w:hAnsi="Times New Roman"/>
                <w:sz w:val="24"/>
                <w:szCs w:val="24"/>
              </w:rPr>
              <w:t xml:space="preserve"> М. Кримінально-правова характеристика злочинів проти інтересів сім'ї та підопічних (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ст.ст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164-169 КК України).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>. юр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наук: 12.00.08,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>. акад. наук України, Ін-т держави і права ім. В. М. Корецького. - К., 2012.180 с.</w:t>
            </w:r>
          </w:p>
          <w:p w14:paraId="17AE1F6A" w14:textId="7AAD71CC" w:rsidR="00BD54E6" w:rsidRDefault="00BD54E6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О. І. Кримінально-правова характеристика злочинів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протисім’ї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та неповнолітніх: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…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наук. Харків, 2006. 184 с.2. Борисов В. І. Питання систематизації Особливої частини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криміналь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-ного права. Питання боротьби зі злочинністю. 2013.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>. 26. С. 29–41.</w:t>
            </w:r>
          </w:p>
          <w:p w14:paraId="5301D3B1" w14:textId="77777777" w:rsidR="00BD54E6" w:rsidRDefault="00BD54E6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Гальцова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В. В. Об’єкт та система злочинів проти виборчих,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трудо-вих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та інших особистих прав і свобод людини та громадянина (Розділ V Осо-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бливої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частини Кримінального кодексу України). Право і безпека. 2011.№ 2 (39). С. 223–227.</w:t>
            </w:r>
          </w:p>
          <w:p w14:paraId="45904253" w14:textId="315EC08F" w:rsidR="00BD54E6" w:rsidRDefault="00BD54E6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Євтєєва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Д. П. Кримінально-правова охорона дитинства в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Україні:тенденції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законодавчого реформування та напрями подальших змін. Вісник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4E6">
              <w:rPr>
                <w:rFonts w:ascii="Times New Roman" w:hAnsi="Times New Roman"/>
                <w:sz w:val="24"/>
                <w:szCs w:val="24"/>
              </w:rPr>
              <w:t xml:space="preserve">ЛДУВС імені Е. О.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Дідоренка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2018. № 1 (81). С. 95–103.5. </w:t>
            </w:r>
          </w:p>
          <w:p w14:paraId="2DF198FC" w14:textId="77777777" w:rsidR="00BD54E6" w:rsidRDefault="00BD54E6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Морозюк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 С. М. Кримінально-правова характеристика злочинів про-ти інтересів сім’ї та підопічних (ст. ст. 164–169 КК України):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BD54E6">
              <w:rPr>
                <w:rFonts w:ascii="Times New Roman" w:hAnsi="Times New Roman"/>
                <w:sz w:val="24"/>
                <w:szCs w:val="24"/>
              </w:rPr>
              <w:t>канд.юрид</w:t>
            </w:r>
            <w:proofErr w:type="spellEnd"/>
            <w:r w:rsidRPr="00BD54E6">
              <w:rPr>
                <w:rFonts w:ascii="Times New Roman" w:hAnsi="Times New Roman"/>
                <w:sz w:val="24"/>
                <w:szCs w:val="24"/>
              </w:rPr>
              <w:t>. наук. Київ, 2012. 205 с</w:t>
            </w:r>
          </w:p>
          <w:p w14:paraId="449CCC0A" w14:textId="00112CD5" w:rsidR="00276B6C" w:rsidRPr="00BD54E6" w:rsidRDefault="00C9596B" w:rsidP="00BD54E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54E6">
              <w:rPr>
                <w:rFonts w:ascii="Times New Roman" w:hAnsi="Times New Roman"/>
                <w:sz w:val="24"/>
                <w:szCs w:val="24"/>
              </w:rPr>
              <w:t>Кузнецов В. В., Семчук Н. О., Чабанюк В. Д. Кримінально-правова охорона моральності неповнолітніх: порівняльно-правове дослідження : монографія</w:t>
            </w:r>
            <w:r w:rsidR="002D237F" w:rsidRPr="00BD54E6">
              <w:rPr>
                <w:rFonts w:ascii="Times New Roman" w:hAnsi="Times New Roman"/>
                <w:sz w:val="24"/>
                <w:szCs w:val="24"/>
              </w:rPr>
              <w:t>. К</w:t>
            </w:r>
            <w:r w:rsidRPr="00BD54E6">
              <w:rPr>
                <w:rFonts w:ascii="Times New Roman" w:hAnsi="Times New Roman"/>
                <w:sz w:val="24"/>
                <w:szCs w:val="24"/>
              </w:rPr>
              <w:t>.: ФОП Кандиба Т. П., 2017. 276 с.</w:t>
            </w:r>
            <w:r w:rsidRPr="00C9596B">
              <w:t xml:space="preserve"> </w:t>
            </w:r>
          </w:p>
        </w:tc>
      </w:tr>
      <w:tr w:rsidR="00276B6C" w14:paraId="62C7D3CF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5BBD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5DE5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276B6C" w14:paraId="73248890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5A031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322D" w14:textId="27452C50" w:rsidR="00276B6C" w:rsidRDefault="00BB0F02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276B6C" w14:paraId="32F07A7B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008F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5EB7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кримінального права і процесу</w:t>
            </w:r>
          </w:p>
        </w:tc>
      </w:tr>
      <w:tr w:rsidR="00276B6C" w14:paraId="386C9F86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79F05" w14:textId="77777777" w:rsidR="00276B6C" w:rsidRDefault="00276B6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5098" w14:textId="77777777" w:rsidR="00276B6C" w:rsidRDefault="00276B6C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юридичний </w:t>
            </w:r>
          </w:p>
        </w:tc>
      </w:tr>
      <w:tr w:rsidR="00BB0F02" w14:paraId="5847DE2B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A196B" w14:textId="63645297" w:rsidR="00BB0F02" w:rsidRDefault="00BB0F02" w:rsidP="00BB0F02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B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67BD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6FF6A3B" wp14:editId="4F9B300D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9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B8344" w14:textId="77777777" w:rsidR="00BB0F02" w:rsidRDefault="00BB0F02" w:rsidP="00EB5EBE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D6ACE3" wp14:editId="46B33C55">
                                        <wp:extent cx="758825" cy="1035050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F6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" strokeweight=".5pt">
                      <v:textbox>
                        <w:txbxContent>
                          <w:p w14:paraId="078B8344" w14:textId="77777777" w:rsidR="00BB0F02" w:rsidRDefault="00BB0F02" w:rsidP="00EB5EBE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6ACE3" wp14:editId="46B33C55">
                                  <wp:extent cx="758825" cy="103505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A7EA150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A96BCB" w14:textId="77777777" w:rsidR="00BB0F02" w:rsidRDefault="00BB0F02" w:rsidP="00BB0F0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3BAA" w14:textId="7CC3BA12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ПІБ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викладача </w:t>
            </w:r>
            <w:r w:rsidRPr="00570B13">
              <w:rPr>
                <w:rFonts w:ascii="Times New Roman" w:hAnsi="Times New Roman"/>
                <w:b/>
                <w:sz w:val="24"/>
                <w:szCs w:val="24"/>
              </w:rPr>
              <w:t>ЛИСЬКО ТЕТЯНА ДАВИДІВНА</w:t>
            </w:r>
          </w:p>
          <w:p w14:paraId="04F0B38A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/>
                <w:sz w:val="24"/>
                <w:szCs w:val="24"/>
              </w:rPr>
              <w:t xml:space="preserve">доцент кафедри </w:t>
            </w:r>
          </w:p>
          <w:p w14:paraId="21247340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6627FC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</w:t>
            </w:r>
            <w:hyperlink r:id="rId7" w:history="1">
              <w:r w:rsidRPr="00570B13">
                <w:rPr>
                  <w:rFonts w:ascii="Times New Roman" w:hAnsi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001897D6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4A85A371" w14:textId="77777777" w:rsidR="00BB0F02" w:rsidRPr="00570B13" w:rsidRDefault="00BB0F02" w:rsidP="00BB0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/>
                <w:bCs/>
                <w:sz w:val="24"/>
                <w:szCs w:val="24"/>
              </w:rPr>
              <w:t>tetiana.lysko@npp.nau.edu.ua</w:t>
            </w:r>
          </w:p>
          <w:p w14:paraId="19EDF11E" w14:textId="03DBF076" w:rsidR="00BB0F02" w:rsidRDefault="00BB0F02" w:rsidP="00BB0F0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B13">
              <w:rPr>
                <w:rFonts w:ascii="Times New Roman" w:hAnsi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BB0F02" w14:paraId="77709266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26622" w14:textId="77777777" w:rsidR="00BB0F02" w:rsidRDefault="00BB0F02" w:rsidP="00BB0F0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202F" w14:textId="77777777" w:rsidR="00BB0F02" w:rsidRDefault="00BB0F02" w:rsidP="00BB0F02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Авторський курс</w:t>
            </w:r>
          </w:p>
        </w:tc>
      </w:tr>
      <w:tr w:rsidR="00BB0F02" w14:paraId="5806526E" w14:textId="77777777" w:rsidTr="00BB0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D3F7A" w14:textId="77777777" w:rsidR="00BB0F02" w:rsidRDefault="00BB0F02" w:rsidP="00BB0F02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FEDD" w14:textId="7B615C1A" w:rsidR="00BB0F02" w:rsidRPr="00BB0F02" w:rsidRDefault="00BB0F02" w:rsidP="00BB0F02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F02">
              <w:rPr>
                <w:rFonts w:ascii="Times New Roman" w:hAnsi="Times New Roman"/>
                <w:i/>
                <w:iCs/>
                <w:sz w:val="24"/>
                <w:szCs w:val="24"/>
              </w:rPr>
              <w:t>В розробці</w:t>
            </w:r>
          </w:p>
        </w:tc>
      </w:tr>
    </w:tbl>
    <w:p w14:paraId="05952067" w14:textId="77777777" w:rsidR="00276B6C" w:rsidRDefault="00276B6C">
      <w:pPr>
        <w:spacing w:after="0" w:line="100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488439" w14:textId="77777777" w:rsidR="00276B6C" w:rsidRDefault="00276B6C"/>
    <w:p w14:paraId="7C057B02" w14:textId="77777777" w:rsidR="00276B6C" w:rsidRDefault="00276B6C"/>
    <w:p w14:paraId="794D090A" w14:textId="77777777" w:rsidR="00276B6C" w:rsidRDefault="00276B6C"/>
    <w:p w14:paraId="1B60B4A7" w14:textId="77777777" w:rsidR="00276B6C" w:rsidRDefault="00276B6C"/>
    <w:sectPr w:rsidR="00276B6C">
      <w:pgSz w:w="11906" w:h="16838"/>
      <w:pgMar w:top="850" w:right="850" w:bottom="850" w:left="1417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19757A"/>
    <w:multiLevelType w:val="hybridMultilevel"/>
    <w:tmpl w:val="8D6AB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72F9"/>
    <w:multiLevelType w:val="hybridMultilevel"/>
    <w:tmpl w:val="6036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A53"/>
    <w:multiLevelType w:val="hybridMultilevel"/>
    <w:tmpl w:val="0A883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3"/>
    <w:rsid w:val="000F0D33"/>
    <w:rsid w:val="00276B6C"/>
    <w:rsid w:val="002D237F"/>
    <w:rsid w:val="003A0F71"/>
    <w:rsid w:val="00500A3C"/>
    <w:rsid w:val="006B671D"/>
    <w:rsid w:val="009A19C3"/>
    <w:rsid w:val="00A93244"/>
    <w:rsid w:val="00BB0F02"/>
    <w:rsid w:val="00BD54E6"/>
    <w:rsid w:val="00C9596B"/>
    <w:rsid w:val="00D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D01DF"/>
  <w15:chartTrackingRefBased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eastAsia="Calibri" w:cs="Calibri"/>
      <w:i w:val="0"/>
      <w:sz w:val="22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7">
    <w:name w:val="List Paragraph"/>
    <w:basedOn w:val="a"/>
    <w:uiPriority w:val="34"/>
    <w:qFormat/>
    <w:rsid w:val="00BD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nau.edu.ua/uk/caphedras/chair2/3279-lysko-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Пользователь Windows</dc:creator>
  <cp:keywords/>
  <cp:lastModifiedBy>User</cp:lastModifiedBy>
  <cp:revision>3</cp:revision>
  <cp:lastPrinted>1601-01-01T00:00:00Z</cp:lastPrinted>
  <dcterms:created xsi:type="dcterms:W3CDTF">2021-06-13T22:44:00Z</dcterms:created>
  <dcterms:modified xsi:type="dcterms:W3CDTF">2021-06-13T23:16:00Z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