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C7D" w14:textId="77777777" w:rsidR="00121DDD" w:rsidRDefault="00121DDD" w:rsidP="00121DDD">
      <w:pPr>
        <w:spacing w:after="0" w:line="10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9DD208" w14:textId="77777777" w:rsidR="00121DDD" w:rsidRDefault="00121DDD" w:rsidP="00121DDD">
      <w:pPr>
        <w:spacing w:after="0" w:line="100" w:lineRule="atLeast"/>
        <w:ind w:left="567"/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t>(Ф 21.01 - 02)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7160"/>
      </w:tblGrid>
      <w:tr w:rsidR="00121DDD" w14:paraId="524FD696" w14:textId="77777777" w:rsidTr="00B84D70">
        <w:trPr>
          <w:trHeight w:val="2131"/>
        </w:trPr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6908" w14:textId="45F96D7D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8E8CCA" wp14:editId="10E540F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67945</wp:posOffset>
                  </wp:positionV>
                  <wp:extent cx="1570990" cy="1441450"/>
                  <wp:effectExtent l="0" t="0" r="0" b="6350"/>
                  <wp:wrapTight wrapText="bothSides">
                    <wp:wrapPolygon edited="0">
                      <wp:start x="0" y="0"/>
                      <wp:lineTo x="0" y="21410"/>
                      <wp:lineTo x="21216" y="21410"/>
                      <wp:lineTo x="2121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44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D0F81" w14:textId="77777777" w:rsidR="00121DDD" w:rsidRDefault="00121DDD" w:rsidP="00B84D70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14:paraId="2508992A" w14:textId="77777777" w:rsidR="00121DDD" w:rsidRDefault="00121DDD" w:rsidP="00B84D70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F0D33">
              <w:rPr>
                <w:rFonts w:ascii="Times New Roman" w:hAnsi="Times New Roman"/>
                <w:b/>
                <w:sz w:val="24"/>
                <w:szCs w:val="24"/>
              </w:rPr>
              <w:t>МІЖНАРОДНА ДІЯЛЬНІСТЬ ПРАВООХОРОННИХ ОРГАНІВ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5E896CE" w14:textId="77777777" w:rsidR="00121DDD" w:rsidRPr="00570B13" w:rsidRDefault="00121DDD" w:rsidP="00B8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56EE3FAA" w14:textId="77777777" w:rsidR="00121DDD" w:rsidRPr="008630A6" w:rsidRDefault="00121DDD" w:rsidP="00BB7F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0D0D4D01" w14:textId="77777777" w:rsidR="00121DDD" w:rsidRPr="009A19C3" w:rsidRDefault="00121DDD" w:rsidP="00B84D70">
            <w:pPr>
              <w:rPr>
                <w:lang w:val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121DDD" w14:paraId="4E90FBF0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80D4F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8137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121DDD" w14:paraId="553AAABF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01D4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DB1D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Навчальна дисципліна вибіркового компонента із фахового переліку</w:t>
            </w:r>
          </w:p>
        </w:tc>
      </w:tr>
      <w:tr w:rsidR="00121DDD" w14:paraId="657F653D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389A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5645" w14:textId="3D3CC400" w:rsidR="00121DDD" w:rsidRDefault="00121DDD" w:rsidP="00B84D70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(третій)</w:t>
            </w:r>
          </w:p>
        </w:tc>
      </w:tr>
      <w:tr w:rsidR="00121DDD" w14:paraId="00133BFB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BCA2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8D22" w14:textId="38AA37BE" w:rsidR="00121DDD" w:rsidRPr="00CF5001" w:rsidRDefault="005C66D0" w:rsidP="00B84D70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Осінній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DDD" w14:paraId="4BC5C3B1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0AB80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Обсяг дисципліни, </w:t>
            </w:r>
          </w:p>
          <w:p w14:paraId="37F04ADB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кредити ЄКТС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96B1" w14:textId="77777777" w:rsidR="00121DDD" w:rsidRDefault="00121DDD" w:rsidP="00B84D70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кредити/120 годин</w:t>
            </w:r>
          </w:p>
        </w:tc>
      </w:tr>
      <w:tr w:rsidR="00121DDD" w14:paraId="22081ABB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2A66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87BC" w14:textId="77777777" w:rsidR="00121DDD" w:rsidRDefault="00121DDD" w:rsidP="00B84D70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121DDD" w14:paraId="37BA033D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2CD6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CA5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F0D33">
              <w:rPr>
                <w:rFonts w:ascii="Times New Roman" w:hAnsi="Times New Roman"/>
                <w:sz w:val="24"/>
                <w:szCs w:val="24"/>
              </w:rPr>
              <w:t>Предмет вивчення даної дисципліни в навчальному плані, системі професійної освіти й зв’язок із суміжними дисциплінами визначається тим, що «Міжнародна діяльність правоохоронних органів» є заключним етапом вивчення фундаментальної юридичної науки – кримінальне право, студенти поглиблюють правові знання, вдосконалюють навички професійної діяльності щодо особливостей кваліфікації злочинів проти життя та здоров’я особи.</w:t>
            </w:r>
          </w:p>
        </w:tc>
      </w:tr>
      <w:tr w:rsidR="00121DDD" w14:paraId="62183895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1080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FA6F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 викладання навчальної дисципліни «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Міжнародна діяльність правоохоронних органів</w:t>
            </w:r>
            <w:r>
              <w:rPr>
                <w:rFonts w:ascii="Times New Roman" w:hAnsi="Times New Roman"/>
                <w:sz w:val="24"/>
                <w:szCs w:val="24"/>
              </w:rPr>
              <w:t>»  – закріплення теоретичних знань в галузі кримінально-правової охорони життя та здоров'я особи та практичних навичок для їх застосування в конкретних життєвих ситуаціях, формування правової культури при практичному застосуванні цих норм кримінального законодавства.</w:t>
            </w:r>
          </w:p>
        </w:tc>
      </w:tr>
      <w:tr w:rsidR="00121DDD" w14:paraId="5EC3E4E8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F982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CD56" w14:textId="77777777" w:rsidR="00121DDD" w:rsidRPr="00570B13" w:rsidRDefault="00121DDD" w:rsidP="00B84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Виокремлювати юридично значущі факти і формувати обґрунтовані правові висновки.  </w:t>
            </w:r>
          </w:p>
          <w:p w14:paraId="6C7B5805" w14:textId="77777777" w:rsidR="00121DDD" w:rsidRPr="00570B13" w:rsidRDefault="00121DDD" w:rsidP="00B84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52ECBAB7" w14:textId="77777777" w:rsidR="00121DDD" w:rsidRPr="00C659EC" w:rsidRDefault="00121DDD" w:rsidP="00B84D70">
            <w:pPr>
              <w:spacing w:after="0" w:line="10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Знати і розуміти відповідні вимоги законодавства, </w:t>
            </w:r>
            <w:proofErr w:type="spellStart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грамотно</w:t>
            </w:r>
            <w:proofErr w:type="spellEnd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121DDD" w14:paraId="1614ABF5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7DB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6CE4" w14:textId="77777777" w:rsidR="00121DDD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1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Усвідомлення рівних можливостей та гендерних проблем.</w:t>
            </w:r>
          </w:p>
          <w:p w14:paraId="7EAB2743" w14:textId="77777777" w:rsidR="00121DDD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1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070E3DA3" w14:textId="77777777" w:rsidR="00121DDD" w:rsidRPr="00570B13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485F5947" w14:textId="77777777" w:rsidR="00121DDD" w:rsidRPr="00570B13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0CF0C214" w14:textId="77777777" w:rsidR="00121DDD" w:rsidRPr="00570B13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0B521F1C" w14:textId="77777777" w:rsidR="00121DDD" w:rsidRPr="00570B13" w:rsidRDefault="00121DDD" w:rsidP="00B8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68801E3B" w14:textId="77777777" w:rsidR="00121DDD" w:rsidRPr="009A19C3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121DDD" w14:paraId="4A359EED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58669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2AA7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5FBB57EE" w14:textId="4FA81E74" w:rsidR="00121DDD" w:rsidRPr="000F0D33" w:rsidRDefault="00121DDD" w:rsidP="00B84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33">
              <w:rPr>
                <w:rFonts w:ascii="Times New Roman" w:hAnsi="Times New Roman"/>
                <w:sz w:val="24"/>
                <w:szCs w:val="24"/>
              </w:rPr>
              <w:t>Загальні засади міжнародного співробітництва у кримінальному провадженні</w:t>
            </w:r>
            <w:r w:rsidRPr="000F0D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Суб’єкти міжнародного співробітництва під час кримінального провадження.</w:t>
            </w:r>
            <w:r w:rsidRPr="000F0D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Обсяг міжнародного співробітництва під час кримінального провадження.</w:t>
            </w:r>
            <w:r w:rsidR="001C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Законодавство, що регулює міжнародне співробітництво під час кримінального провадження.</w:t>
            </w:r>
            <w:r w:rsidR="001C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Надання та отримання міжнародної правової допомоги чи іншого міжнародного співробітництва без договору.</w:t>
            </w:r>
            <w:r w:rsidR="001C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Міжнародна правова допомога при проведенні процесуальних дій. Розгляд та порядок виконання запиту іноземного компетентного органу про міжнародну правову допомогу та відмова у виконанні запиту.</w:t>
            </w:r>
            <w:r w:rsidRPr="000F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Порядок виконання запиту (доручення) про міжнародну правову допомогу на території України.</w:t>
            </w:r>
          </w:p>
          <w:p w14:paraId="31292AB1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3578AF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207BD8B7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121DDD" w14:paraId="1598BE3F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B7A7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3511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Кримінальне право України, </w:t>
            </w:r>
            <w:r w:rsidRPr="00E1177A">
              <w:rPr>
                <w:rFonts w:ascii="Times New Roman" w:hAnsi="Times New Roman"/>
                <w:sz w:val="24"/>
                <w:szCs w:val="24"/>
              </w:rPr>
              <w:t>Теорія держави і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177A">
              <w:rPr>
                <w:rFonts w:ascii="Times New Roman" w:hAnsi="Times New Roman"/>
                <w:sz w:val="24"/>
                <w:szCs w:val="24"/>
              </w:rPr>
              <w:t>Організація судових та правоохоронних органів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177A">
              <w:rPr>
                <w:rFonts w:ascii="Times New Roman" w:hAnsi="Times New Roman"/>
                <w:sz w:val="24"/>
                <w:szCs w:val="24"/>
              </w:rPr>
              <w:t>Кримінологія та профілактика злочинності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DDD" w14:paraId="5B58BD89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2E09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DD1F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Актуальні проблеми кримінального права.</w:t>
            </w:r>
          </w:p>
        </w:tc>
      </w:tr>
      <w:tr w:rsidR="00121DDD" w14:paraId="5CD97344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1159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2AE288B5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C708" w14:textId="77777777" w:rsidR="001C1382" w:rsidRDefault="001C1382" w:rsidP="00B84D70">
            <w:pPr>
              <w:spacing w:after="0" w:line="100" w:lineRule="atLeast"/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FA34784" w14:textId="1CC3A5CC" w:rsidR="00121DDD" w:rsidRPr="000F0D33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0D33">
              <w:rPr>
                <w:rFonts w:ascii="Times New Roman" w:hAnsi="Times New Roman"/>
                <w:sz w:val="24"/>
                <w:szCs w:val="24"/>
              </w:rPr>
              <w:t xml:space="preserve">Міжнародний розшук та видача особи, </w:t>
            </w:r>
            <w:r w:rsidR="001C1382">
              <w:rPr>
                <w:rFonts w:ascii="Times New Roman" w:hAnsi="Times New Roman"/>
                <w:sz w:val="24"/>
                <w:szCs w:val="24"/>
              </w:rPr>
              <w:t xml:space="preserve">що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 xml:space="preserve">вчинила кримінальне правопорушення: навчальний посібник / І.В. Басиста, В.І. Галаган, О.М. </w:t>
            </w:r>
            <w:proofErr w:type="spellStart"/>
            <w:r w:rsidRPr="000F0D33">
              <w:rPr>
                <w:rFonts w:ascii="Times New Roman" w:hAnsi="Times New Roman"/>
                <w:sz w:val="24"/>
                <w:szCs w:val="24"/>
              </w:rPr>
              <w:t>Калачова</w:t>
            </w:r>
            <w:proofErr w:type="spellEnd"/>
            <w:r w:rsidRPr="000F0D33">
              <w:rPr>
                <w:rFonts w:ascii="Times New Roman" w:hAnsi="Times New Roman"/>
                <w:sz w:val="24"/>
                <w:szCs w:val="24"/>
              </w:rPr>
              <w:t>, Л.В. Максимів. Київ, 2016. 277 с.</w:t>
            </w:r>
          </w:p>
          <w:p w14:paraId="45FB82E5" w14:textId="77777777" w:rsidR="00121DDD" w:rsidRPr="000F0D33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D33">
              <w:rPr>
                <w:rFonts w:ascii="Times New Roman" w:hAnsi="Times New Roman"/>
                <w:sz w:val="24"/>
                <w:szCs w:val="24"/>
              </w:rPr>
              <w:t>Ланцедова</w:t>
            </w:r>
            <w:proofErr w:type="spellEnd"/>
            <w:r w:rsidRPr="000F0D33">
              <w:rPr>
                <w:rFonts w:ascii="Times New Roman" w:hAnsi="Times New Roman"/>
                <w:sz w:val="24"/>
                <w:szCs w:val="24"/>
              </w:rPr>
              <w:t xml:space="preserve"> Ю. О. Курс лекцій з кримінального процесуального права України : </w:t>
            </w:r>
            <w:proofErr w:type="spellStart"/>
            <w:r w:rsidRPr="000F0D33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F0D33">
              <w:rPr>
                <w:rFonts w:ascii="Times New Roman" w:hAnsi="Times New Roman"/>
                <w:sz w:val="24"/>
                <w:szCs w:val="24"/>
              </w:rPr>
              <w:t>. посібник / за наук. ред. О. А. Кириченка. Миколаїв : Вид-во ЧДУ ім. П. Могили, 2013. 328 с.</w:t>
            </w:r>
          </w:p>
        </w:tc>
      </w:tr>
      <w:tr w:rsidR="00121DDD" w14:paraId="1595FB49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7DD02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5F62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121DDD" w14:paraId="15B30360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5DA57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05A2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Залік, тестування</w:t>
            </w:r>
          </w:p>
        </w:tc>
      </w:tr>
      <w:tr w:rsidR="00121DDD" w14:paraId="1ABB2BEA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54674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9C0A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кримінального права і процесу</w:t>
            </w:r>
          </w:p>
        </w:tc>
      </w:tr>
      <w:tr w:rsidR="00121DDD" w14:paraId="42C296FC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0624A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5FC9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</w:t>
            </w:r>
          </w:p>
        </w:tc>
      </w:tr>
      <w:tr w:rsidR="00121DDD" w14:paraId="39AF1903" w14:textId="77777777" w:rsidTr="00B84D70">
        <w:trPr>
          <w:trHeight w:val="19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709C7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F506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 СЕМЧУК НАТАЛЯ ОЛЕКСАНДРІВНА</w:t>
            </w:r>
          </w:p>
          <w:p w14:paraId="24FAF04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кафедри</w:t>
            </w:r>
            <w:proofErr w:type="spellEnd"/>
          </w:p>
          <w:p w14:paraId="49E17D08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наук</w:t>
            </w:r>
          </w:p>
          <w:p w14:paraId="6A868B8C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http://www.law.nau.edu.ua/uk/caphedras/chair2/2605-semchuk</w:t>
            </w:r>
          </w:p>
          <w:p w14:paraId="46A46C6D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 044 406 70 15</w:t>
            </w:r>
          </w:p>
          <w:p w14:paraId="2CE06106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21DD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natalia.semchuk@npp.nau.edu.ua</w:t>
            </w:r>
          </w:p>
          <w:p w14:paraId="36F6EB56" w14:textId="77777777" w:rsidR="00121DDD" w:rsidRDefault="00121DDD" w:rsidP="00B84D70">
            <w:p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Робоче місце: 1-448</w:t>
            </w:r>
          </w:p>
        </w:tc>
      </w:tr>
      <w:tr w:rsidR="00121DDD" w14:paraId="5E9F57B2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F489B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24D9" w14:textId="77777777" w:rsidR="00121DDD" w:rsidRDefault="00121DDD" w:rsidP="00B84D70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Авторський курс</w:t>
            </w:r>
          </w:p>
        </w:tc>
      </w:tr>
      <w:tr w:rsidR="00121DDD" w14:paraId="31540FF7" w14:textId="77777777" w:rsidTr="00B84D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430B7" w14:textId="77777777" w:rsidR="00121DDD" w:rsidRDefault="00121DDD" w:rsidP="00B84D70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A949" w14:textId="5DA567C9" w:rsidR="00121DDD" w:rsidRPr="00121DDD" w:rsidRDefault="00121DDD" w:rsidP="00121DDD">
            <w:pPr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 w:rsidRPr="00121DDD">
              <w:rPr>
                <w:rFonts w:ascii="Times New Roman" w:hAnsi="Times New Roman"/>
                <w:i/>
                <w:iCs/>
              </w:rPr>
              <w:t>В розробці</w:t>
            </w:r>
          </w:p>
        </w:tc>
      </w:tr>
    </w:tbl>
    <w:p w14:paraId="08E4E26A" w14:textId="77777777" w:rsidR="005A5B3E" w:rsidRDefault="005A5B3E"/>
    <w:sectPr w:rsidR="005A5B3E">
      <w:pgSz w:w="11906" w:h="16838"/>
      <w:pgMar w:top="850" w:right="850" w:bottom="850" w:left="1417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DD"/>
    <w:rsid w:val="00121DDD"/>
    <w:rsid w:val="001C1382"/>
    <w:rsid w:val="004847FE"/>
    <w:rsid w:val="00556144"/>
    <w:rsid w:val="005A5B3E"/>
    <w:rsid w:val="005C66D0"/>
    <w:rsid w:val="006042AA"/>
    <w:rsid w:val="00B002E0"/>
    <w:rsid w:val="00BB7FF5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F25D"/>
  <w15:chartTrackingRefBased/>
  <w15:docId w15:val="{88F34CA0-B9C8-4F23-9A74-1A91C73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DD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3344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2021-06-13T13:49:00Z</dcterms:created>
  <dcterms:modified xsi:type="dcterms:W3CDTF">2021-06-13T13:55:00Z</dcterms:modified>
</cp:coreProperties>
</file>