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F2" w:rsidRDefault="004422F2" w:rsidP="004422F2">
      <w:pPr>
        <w:ind w:left="567"/>
        <w:jc w:val="right"/>
        <w:rPr>
          <w:shd w:val="clear" w:color="auto" w:fill="FFFFFF"/>
        </w:rPr>
      </w:pPr>
      <w:bookmarkStart w:id="0" w:name="_GoBack"/>
      <w:bookmarkEnd w:id="0"/>
      <w:r w:rsidRPr="005F27B7">
        <w:rPr>
          <w:shd w:val="clear" w:color="auto" w:fill="FFFFFF"/>
        </w:rPr>
        <w:t xml:space="preserve">(Ф 21.01 </w:t>
      </w:r>
      <w:r>
        <w:rPr>
          <w:shd w:val="clear" w:color="auto" w:fill="FFFFFF"/>
        </w:rPr>
        <w:t>–</w:t>
      </w:r>
      <w:r w:rsidRPr="005F27B7">
        <w:rPr>
          <w:shd w:val="clear" w:color="auto" w:fill="FFFFFF"/>
        </w:rPr>
        <w:t xml:space="preserve"> 0</w:t>
      </w:r>
      <w:r w:rsidRPr="005F27B7">
        <w:rPr>
          <w:shd w:val="clear" w:color="auto" w:fill="FFFFFF"/>
          <w:lang w:val="ru-RU"/>
        </w:rPr>
        <w:t>3</w:t>
      </w:r>
      <w:r w:rsidRPr="005F27B7">
        <w:rPr>
          <w:shd w:val="clear" w:color="auto" w:fill="FFFFFF"/>
        </w:rPr>
        <w:t>)</w:t>
      </w:r>
    </w:p>
    <w:p w:rsidR="004422F2" w:rsidRPr="00A97BFB" w:rsidRDefault="004422F2" w:rsidP="004422F2">
      <w:pPr>
        <w:ind w:left="567"/>
        <w:jc w:val="right"/>
        <w:rPr>
          <w:sz w:val="12"/>
          <w:szCs w:val="12"/>
          <w:shd w:val="clear" w:color="auto" w:fill="FFFFF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640"/>
        <w:gridCol w:w="4520"/>
      </w:tblGrid>
      <w:tr w:rsidR="004422F2" w:rsidRPr="0069551A" w:rsidTr="00E94CDD">
        <w:trPr>
          <w:trHeight w:val="2131"/>
        </w:trPr>
        <w:tc>
          <w:tcPr>
            <w:tcW w:w="3261" w:type="dxa"/>
            <w:tcBorders>
              <w:top w:val="nil"/>
              <w:left w:val="nil"/>
            </w:tcBorders>
          </w:tcPr>
          <w:p w:rsidR="004422F2" w:rsidRPr="0069551A" w:rsidRDefault="004422F2" w:rsidP="00E94CDD">
            <w:pPr>
              <w:rPr>
                <w:b/>
                <w:color w:val="000000"/>
                <w:sz w:val="24"/>
                <w:szCs w:val="24"/>
                <w:shd w:val="clear" w:color="auto" w:fill="FFFFFF"/>
              </w:rPr>
            </w:pPr>
            <w:r w:rsidRPr="0069551A">
              <w:rPr>
                <w:noProof/>
                <w:sz w:val="24"/>
                <w:szCs w:val="24"/>
                <w:lang w:eastAsia="uk-UA"/>
              </w:rPr>
              <w:drawing>
                <wp:anchor distT="0" distB="0" distL="114300" distR="114300" simplePos="0" relativeHeight="251659264" behindDoc="1" locked="0" layoutInCell="1" allowOverlap="1">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1" name="Рисунок 1"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0" w:type="dxa"/>
            <w:gridSpan w:val="2"/>
            <w:shd w:val="clear" w:color="auto" w:fill="FFFFFF"/>
            <w:vAlign w:val="center"/>
          </w:tcPr>
          <w:p w:rsidR="004422F2" w:rsidRPr="0069551A" w:rsidRDefault="004422F2" w:rsidP="00E94CDD">
            <w:pPr>
              <w:jc w:val="center"/>
              <w:rPr>
                <w:b/>
                <w:sz w:val="24"/>
                <w:szCs w:val="24"/>
                <w:shd w:val="clear" w:color="auto" w:fill="FFFFFF"/>
              </w:rPr>
            </w:pPr>
            <w:proofErr w:type="spellStart"/>
            <w:r w:rsidRPr="0069551A">
              <w:rPr>
                <w:b/>
                <w:sz w:val="24"/>
                <w:szCs w:val="24"/>
                <w:shd w:val="clear" w:color="auto" w:fill="FFFFFF"/>
              </w:rPr>
              <w:t>Силабус</w:t>
            </w:r>
            <w:proofErr w:type="spellEnd"/>
            <w:r w:rsidRPr="0069551A">
              <w:rPr>
                <w:b/>
                <w:sz w:val="24"/>
                <w:szCs w:val="24"/>
                <w:shd w:val="clear" w:color="auto" w:fill="FFFFFF"/>
              </w:rPr>
              <w:t xml:space="preserve"> навчальної дисципліни</w:t>
            </w:r>
          </w:p>
          <w:p w:rsidR="004422F2" w:rsidRPr="0069551A" w:rsidRDefault="004422F2" w:rsidP="00E94CDD">
            <w:pPr>
              <w:jc w:val="center"/>
              <w:rPr>
                <w:b/>
                <w:sz w:val="24"/>
                <w:szCs w:val="24"/>
                <w:shd w:val="clear" w:color="auto" w:fill="FFFFFF"/>
              </w:rPr>
            </w:pPr>
            <w:r w:rsidRPr="0069551A">
              <w:rPr>
                <w:b/>
                <w:sz w:val="24"/>
                <w:szCs w:val="24"/>
                <w:shd w:val="clear" w:color="auto" w:fill="FFFFFF"/>
              </w:rPr>
              <w:t>«</w:t>
            </w:r>
            <w:r w:rsidRPr="0069551A">
              <w:rPr>
                <w:b/>
                <w:sz w:val="24"/>
                <w:szCs w:val="24"/>
              </w:rPr>
              <w:t>ПРАВОВІ ІНСТРУМЕНТИ ПОЗАСУДОВОГО ВИРІШЕННЯ СПОРІВ</w:t>
            </w:r>
            <w:r w:rsidRPr="0069551A">
              <w:rPr>
                <w:b/>
                <w:sz w:val="24"/>
                <w:szCs w:val="24"/>
                <w:shd w:val="clear" w:color="auto" w:fill="FFFFFF"/>
              </w:rPr>
              <w:t>»</w:t>
            </w:r>
          </w:p>
          <w:p w:rsidR="004422F2" w:rsidRPr="0069551A" w:rsidRDefault="004422F2" w:rsidP="00E94CDD">
            <w:pPr>
              <w:jc w:val="center"/>
              <w:rPr>
                <w:b/>
                <w:sz w:val="24"/>
                <w:szCs w:val="24"/>
                <w:shd w:val="clear" w:color="auto" w:fill="FFFFFF"/>
              </w:rPr>
            </w:pPr>
            <w:r w:rsidRPr="0069551A">
              <w:rPr>
                <w:b/>
                <w:sz w:val="24"/>
                <w:szCs w:val="24"/>
                <w:shd w:val="clear" w:color="auto" w:fill="FFFFFF"/>
              </w:rPr>
              <w:t>Освітньо-професійної програми «Правознавство»</w:t>
            </w:r>
          </w:p>
          <w:p w:rsidR="004422F2" w:rsidRPr="0069551A" w:rsidRDefault="004422F2" w:rsidP="00E94CDD">
            <w:pPr>
              <w:jc w:val="center"/>
              <w:rPr>
                <w:b/>
                <w:color w:val="000000"/>
                <w:sz w:val="24"/>
                <w:szCs w:val="24"/>
                <w:shd w:val="clear" w:color="auto" w:fill="FFFFFF"/>
              </w:rPr>
            </w:pPr>
            <w:r w:rsidRPr="0069551A">
              <w:rPr>
                <w:b/>
                <w:color w:val="000000"/>
                <w:sz w:val="24"/>
                <w:szCs w:val="24"/>
                <w:shd w:val="clear" w:color="auto" w:fill="FFFFFF"/>
              </w:rPr>
              <w:t>Галузь знань: 08  «Право»</w:t>
            </w:r>
          </w:p>
          <w:p w:rsidR="004422F2" w:rsidRPr="0069551A" w:rsidRDefault="004422F2" w:rsidP="00E94CDD">
            <w:pPr>
              <w:jc w:val="center"/>
              <w:rPr>
                <w:b/>
                <w:sz w:val="24"/>
                <w:szCs w:val="24"/>
                <w:shd w:val="clear" w:color="auto" w:fill="FFFFFF"/>
              </w:rPr>
            </w:pPr>
            <w:r w:rsidRPr="0069551A">
              <w:rPr>
                <w:b/>
                <w:sz w:val="24"/>
                <w:szCs w:val="24"/>
                <w:shd w:val="clear" w:color="auto" w:fill="FFFFFF"/>
              </w:rPr>
              <w:t xml:space="preserve">Спеціальність: </w:t>
            </w:r>
            <w:r w:rsidRPr="0069551A">
              <w:rPr>
                <w:b/>
                <w:sz w:val="24"/>
                <w:szCs w:val="24"/>
                <w:lang w:val="ru-RU"/>
              </w:rPr>
              <w:t>081</w:t>
            </w:r>
            <w:r w:rsidRPr="0069551A">
              <w:rPr>
                <w:b/>
                <w:sz w:val="24"/>
                <w:szCs w:val="24"/>
              </w:rPr>
              <w:t xml:space="preserve"> «Право»</w:t>
            </w:r>
          </w:p>
          <w:p w:rsidR="004422F2" w:rsidRPr="0069551A" w:rsidRDefault="004422F2" w:rsidP="00E94CDD">
            <w:pPr>
              <w:jc w:val="both"/>
              <w:rPr>
                <w:b/>
                <w:color w:val="000000"/>
                <w:sz w:val="24"/>
                <w:szCs w:val="24"/>
                <w:shd w:val="clear" w:color="auto" w:fill="FFFFFF"/>
                <w:lang w:val="ru-RU"/>
              </w:rPr>
            </w:pPr>
          </w:p>
        </w:tc>
      </w:tr>
      <w:tr w:rsidR="004422F2" w:rsidRPr="0069551A" w:rsidTr="00E94CDD">
        <w:tc>
          <w:tcPr>
            <w:tcW w:w="3261" w:type="dxa"/>
            <w:shd w:val="clear" w:color="auto" w:fill="FFFFFF"/>
          </w:tcPr>
          <w:p w:rsidR="004422F2" w:rsidRPr="0069551A" w:rsidRDefault="004422F2" w:rsidP="00E94CDD">
            <w:pPr>
              <w:rPr>
                <w:b/>
                <w:color w:val="000000"/>
                <w:sz w:val="24"/>
                <w:szCs w:val="24"/>
                <w:shd w:val="clear" w:color="auto" w:fill="FFFFFF"/>
              </w:rPr>
            </w:pPr>
            <w:r w:rsidRPr="0069551A">
              <w:rPr>
                <w:b/>
                <w:color w:val="000000"/>
                <w:sz w:val="24"/>
                <w:szCs w:val="24"/>
                <w:shd w:val="clear" w:color="auto" w:fill="FFFFFF"/>
              </w:rPr>
              <w:t>Рівень вищої освіти</w:t>
            </w:r>
          </w:p>
        </w:tc>
        <w:tc>
          <w:tcPr>
            <w:tcW w:w="7160" w:type="dxa"/>
            <w:gridSpan w:val="2"/>
          </w:tcPr>
          <w:p w:rsidR="004422F2" w:rsidRPr="0069551A" w:rsidRDefault="004422F2" w:rsidP="00E94CDD">
            <w:pPr>
              <w:rPr>
                <w:color w:val="000000"/>
                <w:sz w:val="24"/>
                <w:szCs w:val="24"/>
                <w:shd w:val="clear" w:color="auto" w:fill="FFFFFF"/>
              </w:rPr>
            </w:pPr>
            <w:r w:rsidRPr="0069551A">
              <w:rPr>
                <w:color w:val="000000"/>
                <w:sz w:val="24"/>
                <w:szCs w:val="24"/>
                <w:shd w:val="clear" w:color="auto" w:fill="FFFFFF"/>
              </w:rPr>
              <w:t>другий (магістерський)</w:t>
            </w:r>
          </w:p>
        </w:tc>
      </w:tr>
      <w:tr w:rsidR="004422F2" w:rsidRPr="0069551A" w:rsidTr="00E94CDD">
        <w:tc>
          <w:tcPr>
            <w:tcW w:w="3261" w:type="dxa"/>
            <w:shd w:val="clear" w:color="auto" w:fill="FFFFFF"/>
          </w:tcPr>
          <w:p w:rsidR="004422F2" w:rsidRPr="0069551A" w:rsidRDefault="004422F2" w:rsidP="00E94CDD">
            <w:pPr>
              <w:rPr>
                <w:b/>
                <w:color w:val="000000"/>
                <w:sz w:val="24"/>
                <w:szCs w:val="24"/>
                <w:shd w:val="clear" w:color="auto" w:fill="FFFFFF"/>
              </w:rPr>
            </w:pPr>
            <w:r w:rsidRPr="0069551A">
              <w:rPr>
                <w:b/>
                <w:color w:val="000000"/>
                <w:sz w:val="24"/>
                <w:szCs w:val="24"/>
                <w:shd w:val="clear" w:color="auto" w:fill="FFFFFF"/>
              </w:rPr>
              <w:t>Статус дисципліни</w:t>
            </w:r>
          </w:p>
        </w:tc>
        <w:tc>
          <w:tcPr>
            <w:tcW w:w="7160" w:type="dxa"/>
            <w:gridSpan w:val="2"/>
          </w:tcPr>
          <w:p w:rsidR="004422F2" w:rsidRPr="00BC52A6" w:rsidRDefault="004422F2" w:rsidP="00E94CDD">
            <w:pPr>
              <w:rPr>
                <w:sz w:val="24"/>
                <w:szCs w:val="24"/>
                <w:shd w:val="clear" w:color="auto" w:fill="FFFFFF"/>
              </w:rPr>
            </w:pPr>
            <w:r w:rsidRPr="00BC52A6">
              <w:rPr>
                <w:sz w:val="24"/>
                <w:szCs w:val="24"/>
                <w:shd w:val="clear" w:color="auto" w:fill="FFFFFF"/>
              </w:rPr>
              <w:t>Навчальна дисципліна обов’язкового компонента ОП</w:t>
            </w:r>
          </w:p>
        </w:tc>
      </w:tr>
      <w:tr w:rsidR="004422F2" w:rsidRPr="0069551A" w:rsidTr="00E94CDD">
        <w:tc>
          <w:tcPr>
            <w:tcW w:w="3261" w:type="dxa"/>
            <w:shd w:val="clear" w:color="auto" w:fill="FFFFFF"/>
          </w:tcPr>
          <w:p w:rsidR="004422F2" w:rsidRPr="0069551A" w:rsidRDefault="004422F2" w:rsidP="00E94CDD">
            <w:pPr>
              <w:rPr>
                <w:b/>
                <w:color w:val="000000"/>
                <w:sz w:val="24"/>
                <w:szCs w:val="24"/>
                <w:shd w:val="clear" w:color="auto" w:fill="FFFFFF"/>
              </w:rPr>
            </w:pPr>
            <w:r w:rsidRPr="0069551A">
              <w:rPr>
                <w:b/>
                <w:color w:val="000000"/>
                <w:sz w:val="24"/>
                <w:szCs w:val="24"/>
                <w:shd w:val="clear" w:color="auto" w:fill="FFFFFF"/>
              </w:rPr>
              <w:t>Курс</w:t>
            </w:r>
          </w:p>
        </w:tc>
        <w:tc>
          <w:tcPr>
            <w:tcW w:w="7160" w:type="dxa"/>
            <w:gridSpan w:val="2"/>
          </w:tcPr>
          <w:p w:rsidR="004422F2" w:rsidRPr="0069551A" w:rsidRDefault="004422F2" w:rsidP="00E94CDD">
            <w:pPr>
              <w:rPr>
                <w:color w:val="000000"/>
                <w:sz w:val="24"/>
                <w:szCs w:val="24"/>
                <w:shd w:val="clear" w:color="auto" w:fill="FFFFFF"/>
              </w:rPr>
            </w:pPr>
            <w:r w:rsidRPr="0069551A">
              <w:rPr>
                <w:color w:val="000000"/>
                <w:sz w:val="24"/>
                <w:szCs w:val="24"/>
                <w:shd w:val="clear" w:color="auto" w:fill="FFFFFF"/>
              </w:rPr>
              <w:t>Перший</w:t>
            </w:r>
          </w:p>
        </w:tc>
      </w:tr>
      <w:tr w:rsidR="004422F2" w:rsidRPr="0069551A" w:rsidTr="00E94CDD">
        <w:tc>
          <w:tcPr>
            <w:tcW w:w="3261" w:type="dxa"/>
            <w:shd w:val="clear" w:color="auto" w:fill="FFFFFF"/>
          </w:tcPr>
          <w:p w:rsidR="004422F2" w:rsidRPr="0069551A" w:rsidRDefault="004422F2" w:rsidP="00E94CDD">
            <w:pPr>
              <w:rPr>
                <w:b/>
                <w:color w:val="000000"/>
                <w:sz w:val="24"/>
                <w:szCs w:val="24"/>
                <w:shd w:val="clear" w:color="auto" w:fill="FFFFFF"/>
              </w:rPr>
            </w:pPr>
            <w:r w:rsidRPr="0069551A">
              <w:rPr>
                <w:b/>
                <w:color w:val="000000"/>
                <w:sz w:val="24"/>
                <w:szCs w:val="24"/>
                <w:shd w:val="clear" w:color="auto" w:fill="FFFFFF"/>
              </w:rPr>
              <w:t>Семестр</w:t>
            </w:r>
          </w:p>
        </w:tc>
        <w:tc>
          <w:tcPr>
            <w:tcW w:w="7160" w:type="dxa"/>
            <w:gridSpan w:val="2"/>
          </w:tcPr>
          <w:p w:rsidR="004422F2" w:rsidRPr="0069551A" w:rsidRDefault="004422F2" w:rsidP="00E94CDD">
            <w:pPr>
              <w:rPr>
                <w:color w:val="000000"/>
                <w:sz w:val="24"/>
                <w:szCs w:val="24"/>
                <w:shd w:val="clear" w:color="auto" w:fill="FFFFFF"/>
                <w:lang w:val="ru-RU"/>
              </w:rPr>
            </w:pPr>
            <w:proofErr w:type="spellStart"/>
            <w:r w:rsidRPr="0069551A">
              <w:rPr>
                <w:color w:val="000000"/>
                <w:sz w:val="24"/>
                <w:szCs w:val="24"/>
                <w:shd w:val="clear" w:color="auto" w:fill="FFFFFF"/>
                <w:lang w:val="ru-RU"/>
              </w:rPr>
              <w:t>Другий</w:t>
            </w:r>
            <w:proofErr w:type="spellEnd"/>
          </w:p>
        </w:tc>
      </w:tr>
      <w:tr w:rsidR="004422F2" w:rsidRPr="0069551A" w:rsidTr="00E94CDD">
        <w:tc>
          <w:tcPr>
            <w:tcW w:w="3261" w:type="dxa"/>
            <w:shd w:val="clear" w:color="auto" w:fill="FFFFFF"/>
          </w:tcPr>
          <w:p w:rsidR="004422F2" w:rsidRPr="0069551A" w:rsidRDefault="004422F2" w:rsidP="00E94CDD">
            <w:pPr>
              <w:rPr>
                <w:b/>
                <w:color w:val="000000"/>
                <w:sz w:val="24"/>
                <w:szCs w:val="24"/>
                <w:shd w:val="clear" w:color="auto" w:fill="FFFFFF"/>
              </w:rPr>
            </w:pPr>
            <w:r w:rsidRPr="0069551A">
              <w:rPr>
                <w:b/>
                <w:color w:val="000000"/>
                <w:sz w:val="24"/>
                <w:szCs w:val="24"/>
                <w:shd w:val="clear" w:color="auto" w:fill="FFFFFF"/>
              </w:rPr>
              <w:t xml:space="preserve">Обсяг дисципліни, </w:t>
            </w:r>
          </w:p>
          <w:p w:rsidR="004422F2" w:rsidRPr="0069551A" w:rsidRDefault="004422F2" w:rsidP="00E94CDD">
            <w:pPr>
              <w:rPr>
                <w:b/>
                <w:color w:val="000000"/>
                <w:sz w:val="24"/>
                <w:szCs w:val="24"/>
                <w:shd w:val="clear" w:color="auto" w:fill="FFFFFF"/>
              </w:rPr>
            </w:pPr>
            <w:r w:rsidRPr="0069551A">
              <w:rPr>
                <w:b/>
                <w:color w:val="000000"/>
                <w:sz w:val="24"/>
                <w:szCs w:val="24"/>
                <w:shd w:val="clear" w:color="auto" w:fill="FFFFFF"/>
              </w:rPr>
              <w:t>кредити ЄКТС</w:t>
            </w:r>
            <w:r w:rsidRPr="0069551A">
              <w:rPr>
                <w:b/>
                <w:color w:val="000000"/>
                <w:sz w:val="24"/>
                <w:szCs w:val="24"/>
                <w:shd w:val="clear" w:color="auto" w:fill="FFFFFF"/>
                <w:lang w:val="ru-RU"/>
              </w:rPr>
              <w:t>/</w:t>
            </w:r>
            <w:r w:rsidRPr="0069551A">
              <w:rPr>
                <w:b/>
                <w:color w:val="000000"/>
                <w:sz w:val="24"/>
                <w:szCs w:val="24"/>
                <w:shd w:val="clear" w:color="auto" w:fill="FFFFFF"/>
              </w:rPr>
              <w:t>години</w:t>
            </w:r>
          </w:p>
        </w:tc>
        <w:tc>
          <w:tcPr>
            <w:tcW w:w="7160" w:type="dxa"/>
            <w:gridSpan w:val="2"/>
          </w:tcPr>
          <w:p w:rsidR="004422F2" w:rsidRPr="0069551A" w:rsidRDefault="004422F2" w:rsidP="00E94CDD">
            <w:pPr>
              <w:jc w:val="both"/>
              <w:rPr>
                <w:color w:val="000000"/>
                <w:sz w:val="24"/>
                <w:szCs w:val="24"/>
                <w:shd w:val="clear" w:color="auto" w:fill="FFFFFF"/>
              </w:rPr>
            </w:pPr>
            <w:r w:rsidRPr="0069551A">
              <w:rPr>
                <w:color w:val="000000"/>
                <w:sz w:val="24"/>
                <w:szCs w:val="24"/>
                <w:shd w:val="clear" w:color="auto" w:fill="FFFFFF"/>
              </w:rPr>
              <w:t>3,5 кредити /105 годин</w:t>
            </w:r>
          </w:p>
        </w:tc>
      </w:tr>
      <w:tr w:rsidR="004422F2" w:rsidRPr="0069551A" w:rsidTr="00E94CDD">
        <w:tc>
          <w:tcPr>
            <w:tcW w:w="3261" w:type="dxa"/>
            <w:shd w:val="clear" w:color="auto" w:fill="FFFFFF"/>
          </w:tcPr>
          <w:p w:rsidR="004422F2" w:rsidRPr="0069551A" w:rsidRDefault="004422F2" w:rsidP="00E94CDD">
            <w:pPr>
              <w:rPr>
                <w:b/>
                <w:color w:val="000000"/>
                <w:sz w:val="24"/>
                <w:szCs w:val="24"/>
                <w:shd w:val="clear" w:color="auto" w:fill="FFFFFF"/>
              </w:rPr>
            </w:pPr>
            <w:r w:rsidRPr="0069551A">
              <w:rPr>
                <w:b/>
                <w:color w:val="000000"/>
                <w:sz w:val="24"/>
                <w:szCs w:val="24"/>
                <w:shd w:val="clear" w:color="auto" w:fill="FFFFFF"/>
              </w:rPr>
              <w:t>Мова викладання</w:t>
            </w:r>
          </w:p>
        </w:tc>
        <w:tc>
          <w:tcPr>
            <w:tcW w:w="7160" w:type="dxa"/>
            <w:gridSpan w:val="2"/>
          </w:tcPr>
          <w:p w:rsidR="004422F2" w:rsidRPr="0069551A" w:rsidRDefault="004422F2" w:rsidP="00E94CDD">
            <w:pPr>
              <w:rPr>
                <w:color w:val="000000"/>
                <w:sz w:val="24"/>
                <w:szCs w:val="24"/>
                <w:shd w:val="clear" w:color="auto" w:fill="FFFFFF"/>
              </w:rPr>
            </w:pPr>
            <w:r w:rsidRPr="0069551A">
              <w:rPr>
                <w:color w:val="000000"/>
                <w:sz w:val="24"/>
                <w:szCs w:val="24"/>
                <w:shd w:val="clear" w:color="auto" w:fill="FFFFFF"/>
              </w:rPr>
              <w:t>українська</w:t>
            </w:r>
          </w:p>
        </w:tc>
      </w:tr>
      <w:tr w:rsidR="004422F2" w:rsidRPr="0069551A" w:rsidTr="00E94CDD">
        <w:tc>
          <w:tcPr>
            <w:tcW w:w="3261" w:type="dxa"/>
            <w:shd w:val="clear" w:color="auto" w:fill="FFFFFF"/>
          </w:tcPr>
          <w:p w:rsidR="004422F2" w:rsidRPr="0069551A" w:rsidRDefault="004422F2" w:rsidP="00E94CDD">
            <w:pPr>
              <w:rPr>
                <w:b/>
                <w:color w:val="000000"/>
                <w:sz w:val="24"/>
                <w:szCs w:val="24"/>
                <w:highlight w:val="yellow"/>
                <w:shd w:val="clear" w:color="auto" w:fill="FFFFFF"/>
              </w:rPr>
            </w:pPr>
            <w:r w:rsidRPr="0069551A">
              <w:rPr>
                <w:b/>
                <w:sz w:val="24"/>
                <w:szCs w:val="24"/>
              </w:rPr>
              <w:t>Що буде вивчатися (предмет вивчення)</w:t>
            </w:r>
          </w:p>
        </w:tc>
        <w:tc>
          <w:tcPr>
            <w:tcW w:w="7160" w:type="dxa"/>
            <w:gridSpan w:val="2"/>
          </w:tcPr>
          <w:p w:rsidR="004422F2" w:rsidRPr="0069551A" w:rsidRDefault="004422F2" w:rsidP="00E94CDD">
            <w:pPr>
              <w:rPr>
                <w:color w:val="000000"/>
                <w:sz w:val="24"/>
                <w:szCs w:val="24"/>
                <w:shd w:val="clear" w:color="auto" w:fill="FFFFFF"/>
              </w:rPr>
            </w:pPr>
            <w:r w:rsidRPr="0069551A">
              <w:rPr>
                <w:color w:val="000000"/>
                <w:sz w:val="24"/>
                <w:szCs w:val="24"/>
                <w:shd w:val="clear" w:color="auto" w:fill="FFFFFF"/>
              </w:rPr>
              <w:t>Основні правові інструменти позасудового вирішення спорів та особливості їхнього функціонування в Україні та світі.</w:t>
            </w:r>
          </w:p>
        </w:tc>
      </w:tr>
      <w:tr w:rsidR="004422F2" w:rsidRPr="0069551A" w:rsidTr="00E94CDD">
        <w:tc>
          <w:tcPr>
            <w:tcW w:w="3261" w:type="dxa"/>
            <w:shd w:val="clear" w:color="auto" w:fill="FFFFFF"/>
          </w:tcPr>
          <w:p w:rsidR="004422F2" w:rsidRPr="0069551A" w:rsidRDefault="004422F2" w:rsidP="00E94CDD">
            <w:pPr>
              <w:rPr>
                <w:b/>
                <w:color w:val="000000"/>
                <w:sz w:val="24"/>
                <w:szCs w:val="24"/>
                <w:highlight w:val="yellow"/>
                <w:shd w:val="clear" w:color="auto" w:fill="FFFFFF"/>
              </w:rPr>
            </w:pPr>
            <w:r w:rsidRPr="0069551A">
              <w:rPr>
                <w:b/>
                <w:sz w:val="24"/>
                <w:szCs w:val="24"/>
              </w:rPr>
              <w:t>Чому це цікаво/треба вивчати (мета)</w:t>
            </w:r>
          </w:p>
        </w:tc>
        <w:tc>
          <w:tcPr>
            <w:tcW w:w="7160" w:type="dxa"/>
            <w:gridSpan w:val="2"/>
          </w:tcPr>
          <w:p w:rsidR="004422F2" w:rsidRPr="0069551A" w:rsidRDefault="004422F2" w:rsidP="00E94CDD">
            <w:pPr>
              <w:jc w:val="both"/>
              <w:rPr>
                <w:color w:val="000000"/>
                <w:sz w:val="24"/>
                <w:szCs w:val="24"/>
                <w:shd w:val="clear" w:color="auto" w:fill="FFFFFF"/>
              </w:rPr>
            </w:pPr>
            <w:r w:rsidRPr="0069551A">
              <w:rPr>
                <w:sz w:val="24"/>
                <w:szCs w:val="24"/>
              </w:rPr>
              <w:t>Метою вивчення курсу є здобуття студентами спеціальних знань та вмінь з основ позасудового вирішення спорів для формування навичок досудового врегулювання спорів та ефективного використання альтернативних способів вирішення спорів у практичній діяльності.</w:t>
            </w:r>
          </w:p>
        </w:tc>
      </w:tr>
      <w:tr w:rsidR="004422F2" w:rsidRPr="0069551A" w:rsidTr="00E94CDD">
        <w:tc>
          <w:tcPr>
            <w:tcW w:w="3261" w:type="dxa"/>
            <w:shd w:val="clear" w:color="auto" w:fill="FFFFFF"/>
          </w:tcPr>
          <w:p w:rsidR="004422F2" w:rsidRPr="0069551A" w:rsidRDefault="004422F2" w:rsidP="00E94CDD">
            <w:pPr>
              <w:rPr>
                <w:b/>
                <w:sz w:val="24"/>
                <w:szCs w:val="24"/>
                <w:highlight w:val="yellow"/>
              </w:rPr>
            </w:pPr>
            <w:r w:rsidRPr="00CA1D39">
              <w:rPr>
                <w:b/>
                <w:sz w:val="24"/>
                <w:szCs w:val="24"/>
              </w:rPr>
              <w:t>Чому можна навчитися (результати навчання)</w:t>
            </w:r>
          </w:p>
        </w:tc>
        <w:tc>
          <w:tcPr>
            <w:tcW w:w="7160" w:type="dxa"/>
            <w:gridSpan w:val="2"/>
          </w:tcPr>
          <w:p w:rsidR="004422F2" w:rsidRPr="0069551A" w:rsidRDefault="004422F2" w:rsidP="00E94CDD">
            <w:pPr>
              <w:jc w:val="both"/>
              <w:rPr>
                <w:color w:val="000000"/>
                <w:sz w:val="24"/>
                <w:szCs w:val="24"/>
                <w:shd w:val="clear" w:color="auto" w:fill="FFFFFF"/>
              </w:rPr>
            </w:pPr>
            <w:r>
              <w:rPr>
                <w:color w:val="000000"/>
                <w:sz w:val="24"/>
                <w:szCs w:val="24"/>
                <w:shd w:val="clear" w:color="auto" w:fill="FFFFFF"/>
              </w:rPr>
              <w:t xml:space="preserve">Курс «Правові інструменти позасудового вирішення спорів» допоможе опанувати навички переговорного процесу, посередництва та ефективного врегулювання конфліктів (спорів) без звернення до суду. </w:t>
            </w:r>
          </w:p>
        </w:tc>
      </w:tr>
      <w:tr w:rsidR="004422F2" w:rsidRPr="0069551A" w:rsidTr="00E94CDD">
        <w:tc>
          <w:tcPr>
            <w:tcW w:w="3261" w:type="dxa"/>
            <w:shd w:val="clear" w:color="auto" w:fill="FFFFFF"/>
          </w:tcPr>
          <w:p w:rsidR="004422F2" w:rsidRPr="0069551A" w:rsidRDefault="004422F2" w:rsidP="00E94CDD">
            <w:pPr>
              <w:rPr>
                <w:b/>
                <w:sz w:val="24"/>
                <w:szCs w:val="24"/>
                <w:highlight w:val="yellow"/>
              </w:rPr>
            </w:pPr>
            <w:r w:rsidRPr="00CA1D39">
              <w:rPr>
                <w:b/>
                <w:sz w:val="24"/>
                <w:szCs w:val="24"/>
              </w:rPr>
              <w:t>Як можна користуватися набутими знаннями і уміннями (компетентності)</w:t>
            </w:r>
          </w:p>
        </w:tc>
        <w:tc>
          <w:tcPr>
            <w:tcW w:w="7160" w:type="dxa"/>
            <w:gridSpan w:val="2"/>
          </w:tcPr>
          <w:p w:rsidR="004422F2" w:rsidRDefault="004422F2" w:rsidP="004422F2">
            <w:pPr>
              <w:numPr>
                <w:ilvl w:val="0"/>
                <w:numId w:val="1"/>
              </w:numPr>
              <w:ind w:left="34" w:firstLine="141"/>
              <w:rPr>
                <w:color w:val="000000"/>
                <w:sz w:val="24"/>
                <w:szCs w:val="24"/>
                <w:shd w:val="clear" w:color="auto" w:fill="FFFFFF"/>
              </w:rPr>
            </w:pPr>
            <w:r>
              <w:rPr>
                <w:color w:val="000000"/>
                <w:sz w:val="24"/>
                <w:szCs w:val="24"/>
                <w:shd w:val="clear" w:color="auto" w:fill="FFFFFF"/>
              </w:rPr>
              <w:t>формування практичних навичок позасудового вирішення спорів;</w:t>
            </w:r>
          </w:p>
          <w:p w:rsidR="004422F2" w:rsidRDefault="004422F2" w:rsidP="004422F2">
            <w:pPr>
              <w:numPr>
                <w:ilvl w:val="0"/>
                <w:numId w:val="1"/>
              </w:numPr>
              <w:ind w:left="34" w:firstLine="141"/>
              <w:rPr>
                <w:color w:val="000000"/>
                <w:sz w:val="24"/>
                <w:szCs w:val="24"/>
                <w:shd w:val="clear" w:color="auto" w:fill="FFFFFF"/>
              </w:rPr>
            </w:pPr>
            <w:r>
              <w:rPr>
                <w:color w:val="000000"/>
                <w:sz w:val="24"/>
                <w:szCs w:val="24"/>
                <w:shd w:val="clear" w:color="auto" w:fill="FFFFFF"/>
              </w:rPr>
              <w:t>поінформованість щодо способів захисту прав та свобод людини і громадянина;</w:t>
            </w:r>
          </w:p>
          <w:p w:rsidR="004422F2" w:rsidRDefault="004422F2" w:rsidP="004422F2">
            <w:pPr>
              <w:numPr>
                <w:ilvl w:val="0"/>
                <w:numId w:val="1"/>
              </w:numPr>
              <w:ind w:left="34" w:firstLine="141"/>
              <w:rPr>
                <w:color w:val="000000"/>
                <w:sz w:val="24"/>
                <w:szCs w:val="24"/>
                <w:shd w:val="clear" w:color="auto" w:fill="FFFFFF"/>
              </w:rPr>
            </w:pPr>
            <w:r>
              <w:rPr>
                <w:color w:val="000000"/>
                <w:sz w:val="24"/>
                <w:szCs w:val="24"/>
                <w:shd w:val="clear" w:color="auto" w:fill="FFFFFF"/>
              </w:rPr>
              <w:t>розуміння правових засад взаємодії правової системи та позасудових способів вирішення спорів;</w:t>
            </w:r>
          </w:p>
          <w:p w:rsidR="004422F2" w:rsidRPr="0069551A" w:rsidRDefault="004422F2" w:rsidP="004422F2">
            <w:pPr>
              <w:numPr>
                <w:ilvl w:val="0"/>
                <w:numId w:val="1"/>
              </w:numPr>
              <w:ind w:left="34" w:firstLine="141"/>
              <w:rPr>
                <w:color w:val="000000"/>
                <w:sz w:val="24"/>
                <w:szCs w:val="24"/>
                <w:shd w:val="clear" w:color="auto" w:fill="FFFFFF"/>
              </w:rPr>
            </w:pPr>
            <w:r>
              <w:rPr>
                <w:color w:val="000000"/>
                <w:sz w:val="24"/>
                <w:szCs w:val="24"/>
                <w:shd w:val="clear" w:color="auto" w:fill="FFFFFF"/>
              </w:rPr>
              <w:t>оформлення угод у сфері позасудового вирішення спорів.</w:t>
            </w:r>
          </w:p>
        </w:tc>
      </w:tr>
      <w:tr w:rsidR="004422F2" w:rsidRPr="0069551A" w:rsidTr="00E94CDD">
        <w:tc>
          <w:tcPr>
            <w:tcW w:w="3261" w:type="dxa"/>
            <w:shd w:val="clear" w:color="auto" w:fill="FFFFFF"/>
          </w:tcPr>
          <w:p w:rsidR="004422F2" w:rsidRPr="0069551A" w:rsidRDefault="004422F2" w:rsidP="00E94CDD">
            <w:pPr>
              <w:rPr>
                <w:b/>
                <w:sz w:val="24"/>
                <w:szCs w:val="24"/>
              </w:rPr>
            </w:pPr>
            <w:r w:rsidRPr="0069551A">
              <w:rPr>
                <w:b/>
                <w:sz w:val="24"/>
                <w:szCs w:val="24"/>
              </w:rPr>
              <w:t>Навчальна логістика</w:t>
            </w:r>
          </w:p>
        </w:tc>
        <w:tc>
          <w:tcPr>
            <w:tcW w:w="7160" w:type="dxa"/>
            <w:gridSpan w:val="2"/>
          </w:tcPr>
          <w:p w:rsidR="004422F2" w:rsidRPr="0069551A" w:rsidRDefault="004422F2" w:rsidP="00E94CDD">
            <w:pPr>
              <w:shd w:val="clear" w:color="auto" w:fill="FFFFFF"/>
              <w:ind w:right="10" w:firstLine="34"/>
              <w:jc w:val="both"/>
              <w:rPr>
                <w:spacing w:val="-4"/>
                <w:sz w:val="24"/>
                <w:szCs w:val="24"/>
              </w:rPr>
            </w:pPr>
            <w:r w:rsidRPr="0069551A">
              <w:rPr>
                <w:b/>
                <w:sz w:val="24"/>
                <w:szCs w:val="24"/>
              </w:rPr>
              <w:t xml:space="preserve">Зміст дисципліни: </w:t>
            </w:r>
            <w:r w:rsidRPr="0069551A">
              <w:rPr>
                <w:sz w:val="24"/>
                <w:szCs w:val="24"/>
              </w:rPr>
              <w:t>Загальна характеристика позасудового вирішення спорів.</w:t>
            </w:r>
            <w:r w:rsidRPr="0069551A">
              <w:rPr>
                <w:spacing w:val="-4"/>
                <w:sz w:val="24"/>
                <w:szCs w:val="24"/>
              </w:rPr>
              <w:t xml:space="preserve"> Поняття позасудового вирішення спорів. Основні види та особливості окремих процедур позасудового вирішення спорів. Зв’язок судової системи та способів позасудового вирішення спорів. Розвиток системи позасудового вирішення спорів у зарубіжних країнах. </w:t>
            </w:r>
            <w:r w:rsidRPr="0069551A">
              <w:rPr>
                <w:sz w:val="24"/>
                <w:szCs w:val="24"/>
              </w:rPr>
              <w:t>Поняття та основні риси переговорів як позасудового способу вирішення спорів. Порядок проведення переговорів. «Гарвардський метод» ведення переговорів.</w:t>
            </w:r>
            <w:r w:rsidRPr="0069551A">
              <w:rPr>
                <w:spacing w:val="-4"/>
                <w:sz w:val="24"/>
                <w:szCs w:val="24"/>
              </w:rPr>
              <w:t xml:space="preserve"> </w:t>
            </w:r>
            <w:r w:rsidRPr="0069551A">
              <w:rPr>
                <w:sz w:val="24"/>
                <w:szCs w:val="24"/>
              </w:rPr>
              <w:t>Правове регулювання діяльності третейських судів. Компетенція третейських судів. Третейська угода. Поняття та юрисдикція міжнародного комерційного арбітражу. Особливості процедури вирішення спорів в міжнародному комерційному арбітражі. Загальна характеристика процедури медіації. Поняття та особливості медіації як позасудового способу вирішення спорів. Принципи процедури медіації. Основні види та моделі медіації. Порядок проведення та стадії медіації.</w:t>
            </w:r>
            <w:r w:rsidRPr="0069551A">
              <w:rPr>
                <w:spacing w:val="-4"/>
                <w:sz w:val="24"/>
                <w:szCs w:val="24"/>
              </w:rPr>
              <w:t xml:space="preserve"> </w:t>
            </w:r>
            <w:r w:rsidRPr="0069551A">
              <w:rPr>
                <w:sz w:val="24"/>
                <w:szCs w:val="24"/>
              </w:rPr>
              <w:t>Поняття і система джерел правового регулювання медіації. Міжнародні акти регулювання медіації. Сінгапурська конвенція про медіацію. Медіація у праві Європейського Союзу. Національне законодавство України про медіацію.</w:t>
            </w:r>
            <w:r w:rsidRPr="0069551A">
              <w:rPr>
                <w:spacing w:val="-4"/>
                <w:sz w:val="24"/>
                <w:szCs w:val="24"/>
              </w:rPr>
              <w:t xml:space="preserve"> </w:t>
            </w:r>
            <w:r w:rsidRPr="0069551A">
              <w:rPr>
                <w:sz w:val="24"/>
                <w:szCs w:val="24"/>
              </w:rPr>
              <w:t xml:space="preserve">Права та обов’язки сторін спору під час медіації. </w:t>
            </w:r>
            <w:proofErr w:type="spellStart"/>
            <w:r w:rsidRPr="0069551A">
              <w:rPr>
                <w:sz w:val="24"/>
                <w:szCs w:val="24"/>
              </w:rPr>
              <w:lastRenderedPageBreak/>
              <w:t>Медіаційне</w:t>
            </w:r>
            <w:proofErr w:type="spellEnd"/>
            <w:r w:rsidRPr="0069551A">
              <w:rPr>
                <w:sz w:val="24"/>
                <w:szCs w:val="24"/>
              </w:rPr>
              <w:t xml:space="preserve"> застереження. Договір про проведення медіації. Угода за результатами медіації (</w:t>
            </w:r>
            <w:proofErr w:type="spellStart"/>
            <w:r w:rsidRPr="0069551A">
              <w:rPr>
                <w:sz w:val="24"/>
                <w:szCs w:val="24"/>
              </w:rPr>
              <w:t>медіаційна</w:t>
            </w:r>
            <w:proofErr w:type="spellEnd"/>
            <w:r w:rsidRPr="0069551A">
              <w:rPr>
                <w:sz w:val="24"/>
                <w:szCs w:val="24"/>
              </w:rPr>
              <w:t xml:space="preserve"> угода). Особливості застосування медіації до різних категорій спорів. Медіація у </w:t>
            </w:r>
            <w:proofErr w:type="spellStart"/>
            <w:r w:rsidRPr="0069551A">
              <w:rPr>
                <w:sz w:val="24"/>
                <w:szCs w:val="24"/>
              </w:rPr>
              <w:t>приватно-правових</w:t>
            </w:r>
            <w:proofErr w:type="spellEnd"/>
            <w:r w:rsidRPr="0069551A">
              <w:rPr>
                <w:sz w:val="24"/>
                <w:szCs w:val="24"/>
              </w:rPr>
              <w:t xml:space="preserve"> відносинах. Практика застосування медіації для врегулювання податкових спорів. Особливості запровадження медіації у публічно-правових спорах. </w:t>
            </w:r>
            <w:r w:rsidRPr="0069551A">
              <w:rPr>
                <w:spacing w:val="-4"/>
                <w:sz w:val="24"/>
                <w:szCs w:val="24"/>
              </w:rPr>
              <w:t>Роль медіатора у процесі врегулювання спору. Вимоги до компетентності медіатора. Принципи професійної етики медіатора.</w:t>
            </w:r>
            <w:r w:rsidRPr="0069551A">
              <w:rPr>
                <w:sz w:val="24"/>
                <w:szCs w:val="24"/>
              </w:rPr>
              <w:t xml:space="preserve"> Врегулювання спору за участю судді.  Співвідношення врегулювання спору за участю судді та медіації. Підстави та строки проведення врегулювання спору за участю судді. Порядок проведення та припинення врегулювання спору за участю судді.</w:t>
            </w:r>
          </w:p>
          <w:p w:rsidR="004422F2" w:rsidRPr="0069551A" w:rsidRDefault="004422F2" w:rsidP="00E94CDD">
            <w:pPr>
              <w:rPr>
                <w:sz w:val="24"/>
                <w:szCs w:val="24"/>
              </w:rPr>
            </w:pPr>
            <w:r w:rsidRPr="0069551A">
              <w:rPr>
                <w:b/>
                <w:color w:val="000000"/>
                <w:sz w:val="24"/>
                <w:szCs w:val="24"/>
                <w:shd w:val="clear" w:color="auto" w:fill="FFFFFF"/>
              </w:rPr>
              <w:t xml:space="preserve">Види занять: </w:t>
            </w:r>
            <w:r w:rsidRPr="0069551A">
              <w:rPr>
                <w:color w:val="000000"/>
                <w:sz w:val="24"/>
                <w:szCs w:val="24"/>
                <w:shd w:val="clear" w:color="auto" w:fill="FFFFFF"/>
              </w:rPr>
              <w:t>лекції, практичні, самостійна робота</w:t>
            </w:r>
          </w:p>
          <w:p w:rsidR="004422F2" w:rsidRPr="0069551A" w:rsidRDefault="004422F2" w:rsidP="00E94CDD">
            <w:pPr>
              <w:rPr>
                <w:b/>
                <w:sz w:val="24"/>
                <w:szCs w:val="24"/>
              </w:rPr>
            </w:pPr>
            <w:r w:rsidRPr="0069551A">
              <w:rPr>
                <w:b/>
                <w:sz w:val="24"/>
                <w:szCs w:val="24"/>
              </w:rPr>
              <w:t>Методи навчання:</w:t>
            </w:r>
            <w:r w:rsidRPr="0069551A">
              <w:rPr>
                <w:sz w:val="24"/>
                <w:szCs w:val="24"/>
              </w:rPr>
              <w:t xml:space="preserve"> </w:t>
            </w:r>
            <w:r w:rsidRPr="0069551A">
              <w:rPr>
                <w:bCs/>
                <w:sz w:val="24"/>
                <w:szCs w:val="24"/>
              </w:rPr>
              <w:t xml:space="preserve">навчальна дискусія, </w:t>
            </w:r>
            <w:proofErr w:type="spellStart"/>
            <w:r w:rsidRPr="0069551A">
              <w:rPr>
                <w:bCs/>
                <w:sz w:val="24"/>
                <w:szCs w:val="24"/>
              </w:rPr>
              <w:t>онлайн</w:t>
            </w:r>
            <w:proofErr w:type="spellEnd"/>
          </w:p>
          <w:p w:rsidR="004422F2" w:rsidRPr="0069551A" w:rsidRDefault="004422F2" w:rsidP="00E94CDD">
            <w:pPr>
              <w:rPr>
                <w:b/>
                <w:color w:val="000000"/>
                <w:sz w:val="24"/>
                <w:szCs w:val="24"/>
                <w:shd w:val="clear" w:color="auto" w:fill="FFFFFF"/>
                <w:lang w:val="ru-RU"/>
              </w:rPr>
            </w:pPr>
            <w:r w:rsidRPr="0069551A">
              <w:rPr>
                <w:b/>
                <w:sz w:val="24"/>
                <w:szCs w:val="24"/>
              </w:rPr>
              <w:t xml:space="preserve">Форми навчання: </w:t>
            </w:r>
            <w:proofErr w:type="spellStart"/>
            <w:r w:rsidRPr="0069551A">
              <w:rPr>
                <w:sz w:val="24"/>
                <w:szCs w:val="24"/>
                <w:lang w:val="ru-RU"/>
              </w:rPr>
              <w:t>очна</w:t>
            </w:r>
            <w:proofErr w:type="spellEnd"/>
            <w:r>
              <w:rPr>
                <w:sz w:val="24"/>
                <w:szCs w:val="24"/>
                <w:lang w:val="ru-RU"/>
              </w:rPr>
              <w:t xml:space="preserve">, </w:t>
            </w:r>
            <w:proofErr w:type="spellStart"/>
            <w:r>
              <w:rPr>
                <w:sz w:val="24"/>
                <w:szCs w:val="24"/>
                <w:lang w:val="ru-RU"/>
              </w:rPr>
              <w:t>заочна</w:t>
            </w:r>
            <w:proofErr w:type="spellEnd"/>
            <w:r>
              <w:rPr>
                <w:sz w:val="24"/>
                <w:szCs w:val="24"/>
                <w:lang w:val="ru-RU"/>
              </w:rPr>
              <w:t xml:space="preserve">, </w:t>
            </w:r>
            <w:proofErr w:type="spellStart"/>
            <w:r>
              <w:rPr>
                <w:sz w:val="24"/>
                <w:szCs w:val="24"/>
                <w:lang w:val="ru-RU"/>
              </w:rPr>
              <w:t>дистанційно</w:t>
            </w:r>
            <w:proofErr w:type="spellEnd"/>
          </w:p>
        </w:tc>
      </w:tr>
      <w:tr w:rsidR="004422F2" w:rsidRPr="0069551A" w:rsidTr="00E94CDD">
        <w:tc>
          <w:tcPr>
            <w:tcW w:w="3261" w:type="dxa"/>
            <w:shd w:val="clear" w:color="auto" w:fill="FFFFFF"/>
          </w:tcPr>
          <w:p w:rsidR="004422F2" w:rsidRPr="0069551A" w:rsidRDefault="004422F2" w:rsidP="00E94CDD">
            <w:pPr>
              <w:rPr>
                <w:b/>
                <w:color w:val="000000"/>
                <w:sz w:val="24"/>
                <w:szCs w:val="24"/>
                <w:highlight w:val="yellow"/>
                <w:shd w:val="clear" w:color="auto" w:fill="FFFFFF"/>
              </w:rPr>
            </w:pPr>
            <w:proofErr w:type="spellStart"/>
            <w:r w:rsidRPr="0069551A">
              <w:rPr>
                <w:b/>
                <w:color w:val="000000"/>
                <w:sz w:val="24"/>
                <w:szCs w:val="24"/>
                <w:shd w:val="clear" w:color="auto" w:fill="FFFFFF"/>
              </w:rPr>
              <w:lastRenderedPageBreak/>
              <w:t>Пререквізити</w:t>
            </w:r>
            <w:proofErr w:type="spellEnd"/>
          </w:p>
        </w:tc>
        <w:tc>
          <w:tcPr>
            <w:tcW w:w="7160" w:type="dxa"/>
            <w:gridSpan w:val="2"/>
          </w:tcPr>
          <w:p w:rsidR="004422F2" w:rsidRPr="0069551A" w:rsidRDefault="004422F2" w:rsidP="00E94CDD">
            <w:pPr>
              <w:jc w:val="both"/>
              <w:rPr>
                <w:sz w:val="24"/>
                <w:szCs w:val="24"/>
                <w:highlight w:val="yellow"/>
                <w:shd w:val="clear" w:color="auto" w:fill="FFFFFF"/>
              </w:rPr>
            </w:pPr>
            <w:r w:rsidRPr="0069551A">
              <w:rPr>
                <w:sz w:val="24"/>
                <w:szCs w:val="24"/>
                <w:shd w:val="clear" w:color="auto" w:fill="FFFFFF"/>
              </w:rPr>
              <w:t xml:space="preserve">Базові та фахові знання, отримані на першому (бакалаврському) рівні, а також знання, отримані під час вивчення дисциплін «Міжнародні стандарти в галузі прав людини», «Юридична </w:t>
            </w:r>
            <w:proofErr w:type="spellStart"/>
            <w:r w:rsidRPr="0069551A">
              <w:rPr>
                <w:sz w:val="24"/>
                <w:szCs w:val="24"/>
                <w:shd w:val="clear" w:color="auto" w:fill="FFFFFF"/>
              </w:rPr>
              <w:t>конфліктологія</w:t>
            </w:r>
            <w:proofErr w:type="spellEnd"/>
            <w:r w:rsidRPr="0069551A">
              <w:rPr>
                <w:sz w:val="24"/>
                <w:szCs w:val="24"/>
                <w:shd w:val="clear" w:color="auto" w:fill="FFFFFF"/>
              </w:rPr>
              <w:t>», «Міжнародний комерційний арбітраж», «Права людини в еру всесвітніх змін».</w:t>
            </w:r>
          </w:p>
        </w:tc>
      </w:tr>
      <w:tr w:rsidR="004422F2" w:rsidRPr="0069551A" w:rsidTr="00E94CDD">
        <w:tc>
          <w:tcPr>
            <w:tcW w:w="3261" w:type="dxa"/>
            <w:shd w:val="clear" w:color="auto" w:fill="FFFFFF"/>
          </w:tcPr>
          <w:p w:rsidR="004422F2" w:rsidRPr="0069551A" w:rsidRDefault="004422F2" w:rsidP="00E94CDD">
            <w:pPr>
              <w:rPr>
                <w:b/>
                <w:sz w:val="24"/>
                <w:szCs w:val="24"/>
                <w:highlight w:val="yellow"/>
              </w:rPr>
            </w:pPr>
            <w:proofErr w:type="spellStart"/>
            <w:r w:rsidRPr="0069551A">
              <w:rPr>
                <w:b/>
                <w:color w:val="000000"/>
                <w:sz w:val="24"/>
                <w:szCs w:val="24"/>
                <w:shd w:val="clear" w:color="auto" w:fill="FFFFFF"/>
              </w:rPr>
              <w:t>Пореквізити</w:t>
            </w:r>
            <w:proofErr w:type="spellEnd"/>
          </w:p>
        </w:tc>
        <w:tc>
          <w:tcPr>
            <w:tcW w:w="7160" w:type="dxa"/>
            <w:gridSpan w:val="2"/>
          </w:tcPr>
          <w:p w:rsidR="004422F2" w:rsidRPr="0069551A" w:rsidRDefault="004422F2" w:rsidP="00E94CDD">
            <w:pPr>
              <w:jc w:val="both"/>
              <w:rPr>
                <w:b/>
                <w:color w:val="000000"/>
                <w:sz w:val="24"/>
                <w:szCs w:val="24"/>
                <w:highlight w:val="yellow"/>
                <w:shd w:val="clear" w:color="auto" w:fill="FFFFFF"/>
              </w:rPr>
            </w:pPr>
            <w:r w:rsidRPr="0069551A">
              <w:rPr>
                <w:sz w:val="24"/>
                <w:szCs w:val="24"/>
              </w:rPr>
              <w:t>Знання можуть бути використані під час написання магістерської роботи, а також формують навички, необхідні для здійснення практичної діяльності.</w:t>
            </w:r>
          </w:p>
        </w:tc>
      </w:tr>
      <w:tr w:rsidR="004422F2" w:rsidRPr="0069551A" w:rsidTr="00E94CDD">
        <w:tc>
          <w:tcPr>
            <w:tcW w:w="3261" w:type="dxa"/>
            <w:shd w:val="clear" w:color="auto" w:fill="FFFFFF"/>
          </w:tcPr>
          <w:p w:rsidR="004422F2" w:rsidRPr="00593C02" w:rsidRDefault="004422F2" w:rsidP="00E94CDD">
            <w:pPr>
              <w:rPr>
                <w:b/>
                <w:sz w:val="24"/>
                <w:szCs w:val="24"/>
              </w:rPr>
            </w:pPr>
            <w:r w:rsidRPr="00593C02">
              <w:rPr>
                <w:b/>
                <w:sz w:val="24"/>
                <w:szCs w:val="24"/>
              </w:rPr>
              <w:t>Інформаційне забезпечення</w:t>
            </w:r>
          </w:p>
          <w:p w:rsidR="004422F2" w:rsidRPr="0069551A" w:rsidRDefault="004422F2" w:rsidP="00E94CDD">
            <w:pPr>
              <w:rPr>
                <w:b/>
                <w:sz w:val="24"/>
                <w:szCs w:val="24"/>
                <w:highlight w:val="yellow"/>
              </w:rPr>
            </w:pPr>
            <w:r w:rsidRPr="00593C02">
              <w:rPr>
                <w:b/>
                <w:sz w:val="24"/>
                <w:szCs w:val="24"/>
              </w:rPr>
              <w:t xml:space="preserve">з </w:t>
            </w:r>
            <w:proofErr w:type="spellStart"/>
            <w:r w:rsidRPr="00593C02">
              <w:rPr>
                <w:b/>
                <w:sz w:val="24"/>
                <w:szCs w:val="24"/>
              </w:rPr>
              <w:t>репозитарію</w:t>
            </w:r>
            <w:proofErr w:type="spellEnd"/>
            <w:r w:rsidRPr="00593C02">
              <w:rPr>
                <w:b/>
                <w:sz w:val="24"/>
                <w:szCs w:val="24"/>
              </w:rPr>
              <w:t xml:space="preserve"> та фонду НТБ НАУ</w:t>
            </w:r>
          </w:p>
        </w:tc>
        <w:tc>
          <w:tcPr>
            <w:tcW w:w="7160" w:type="dxa"/>
            <w:gridSpan w:val="2"/>
            <w:shd w:val="clear" w:color="auto" w:fill="auto"/>
          </w:tcPr>
          <w:p w:rsidR="004422F2" w:rsidRPr="00BC52A6" w:rsidRDefault="004422F2" w:rsidP="00E94CDD">
            <w:pPr>
              <w:jc w:val="both"/>
              <w:rPr>
                <w:b/>
                <w:iCs/>
                <w:sz w:val="24"/>
                <w:szCs w:val="24"/>
              </w:rPr>
            </w:pPr>
            <w:r w:rsidRPr="00BC52A6">
              <w:rPr>
                <w:b/>
                <w:iCs/>
                <w:sz w:val="24"/>
                <w:szCs w:val="24"/>
              </w:rPr>
              <w:t xml:space="preserve">Навчальна та наукова література: </w:t>
            </w:r>
          </w:p>
          <w:p w:rsidR="004422F2" w:rsidRPr="00BC52A6" w:rsidRDefault="004422F2" w:rsidP="004422F2">
            <w:pPr>
              <w:numPr>
                <w:ilvl w:val="0"/>
                <w:numId w:val="2"/>
              </w:numPr>
              <w:ind w:left="34" w:firstLine="326"/>
              <w:jc w:val="both"/>
              <w:rPr>
                <w:sz w:val="24"/>
                <w:szCs w:val="28"/>
              </w:rPr>
            </w:pPr>
            <w:r w:rsidRPr="00BC52A6">
              <w:rPr>
                <w:sz w:val="24"/>
                <w:szCs w:val="28"/>
              </w:rPr>
              <w:t xml:space="preserve">Токарєва К.С. Порівняльний аспект врегулювання спорів за участю судді та за допомогою медіації. </w:t>
            </w:r>
            <w:r w:rsidRPr="00BC52A6">
              <w:rPr>
                <w:i/>
                <w:sz w:val="24"/>
                <w:szCs w:val="28"/>
              </w:rPr>
              <w:t>Юридичний вісник</w:t>
            </w:r>
            <w:r w:rsidRPr="00BC52A6">
              <w:rPr>
                <w:sz w:val="24"/>
                <w:szCs w:val="28"/>
              </w:rPr>
              <w:t>. 2020. № 57. Т. 4. С. 83-88.</w:t>
            </w:r>
          </w:p>
          <w:p w:rsidR="004422F2" w:rsidRPr="00BC52A6" w:rsidRDefault="004422F2" w:rsidP="004422F2">
            <w:pPr>
              <w:pStyle w:val="a3"/>
              <w:numPr>
                <w:ilvl w:val="0"/>
                <w:numId w:val="2"/>
              </w:numPr>
              <w:autoSpaceDE w:val="0"/>
              <w:autoSpaceDN w:val="0"/>
              <w:adjustRightInd w:val="0"/>
              <w:spacing w:after="0" w:line="240" w:lineRule="auto"/>
              <w:ind w:left="34" w:firstLine="326"/>
              <w:jc w:val="both"/>
              <w:rPr>
                <w:rFonts w:ascii="Times New Roman" w:hAnsi="Times New Roman"/>
                <w:sz w:val="24"/>
                <w:szCs w:val="28"/>
                <w:lang w:val="uk-UA"/>
              </w:rPr>
            </w:pPr>
            <w:r w:rsidRPr="00BC52A6">
              <w:rPr>
                <w:rFonts w:ascii="Times New Roman" w:hAnsi="Times New Roman"/>
                <w:sz w:val="24"/>
                <w:szCs w:val="28"/>
                <w:shd w:val="clear" w:color="auto" w:fill="FFFFFF"/>
                <w:lang w:val="uk-UA"/>
              </w:rPr>
              <w:t xml:space="preserve">Голубєва Н. Ю. Альтернативне вирішення цивільно-правових спорів: </w:t>
            </w:r>
            <w:proofErr w:type="spellStart"/>
            <w:r w:rsidRPr="00BC52A6">
              <w:rPr>
                <w:rFonts w:ascii="Times New Roman" w:hAnsi="Times New Roman"/>
                <w:sz w:val="24"/>
                <w:szCs w:val="28"/>
                <w:shd w:val="clear" w:color="auto" w:fill="FFFFFF"/>
                <w:lang w:val="uk-UA"/>
              </w:rPr>
              <w:t>підруч</w:t>
            </w:r>
            <w:proofErr w:type="spellEnd"/>
            <w:r w:rsidRPr="00BC52A6">
              <w:rPr>
                <w:rFonts w:ascii="Times New Roman" w:hAnsi="Times New Roman"/>
                <w:sz w:val="24"/>
                <w:szCs w:val="28"/>
                <w:shd w:val="clear" w:color="auto" w:fill="FFFFFF"/>
                <w:lang w:val="uk-UA"/>
              </w:rPr>
              <w:t>. Одеса: Фенікс, 2021. 344 с.</w:t>
            </w:r>
          </w:p>
          <w:p w:rsidR="004422F2" w:rsidRPr="00593C02" w:rsidRDefault="004422F2" w:rsidP="004422F2">
            <w:pPr>
              <w:numPr>
                <w:ilvl w:val="0"/>
                <w:numId w:val="2"/>
              </w:numPr>
              <w:ind w:left="34" w:firstLine="326"/>
              <w:jc w:val="both"/>
              <w:rPr>
                <w:i/>
                <w:iCs/>
                <w:sz w:val="24"/>
                <w:szCs w:val="24"/>
                <w:shd w:val="clear" w:color="auto" w:fill="FFFFFF"/>
              </w:rPr>
            </w:pPr>
            <w:r w:rsidRPr="00BC52A6">
              <w:rPr>
                <w:sz w:val="24"/>
                <w:szCs w:val="28"/>
              </w:rPr>
              <w:t xml:space="preserve">Крестовська Н., Романадзе Л. Медіація у професійній діяльності юриста: </w:t>
            </w:r>
            <w:proofErr w:type="spellStart"/>
            <w:r w:rsidRPr="00BC52A6">
              <w:rPr>
                <w:sz w:val="24"/>
                <w:szCs w:val="28"/>
              </w:rPr>
              <w:t>підруч</w:t>
            </w:r>
            <w:proofErr w:type="spellEnd"/>
            <w:r w:rsidRPr="00BC52A6">
              <w:rPr>
                <w:sz w:val="24"/>
                <w:szCs w:val="28"/>
              </w:rPr>
              <w:t>. Одеса: Екологія, 2019. 462 с.</w:t>
            </w:r>
          </w:p>
        </w:tc>
      </w:tr>
      <w:tr w:rsidR="004422F2" w:rsidRPr="0069551A" w:rsidTr="00E94CDD">
        <w:tc>
          <w:tcPr>
            <w:tcW w:w="3261" w:type="dxa"/>
            <w:shd w:val="clear" w:color="auto" w:fill="FFFFFF"/>
          </w:tcPr>
          <w:p w:rsidR="004422F2" w:rsidRPr="0069551A" w:rsidRDefault="004422F2" w:rsidP="00E94CDD">
            <w:pPr>
              <w:rPr>
                <w:b/>
                <w:sz w:val="24"/>
                <w:szCs w:val="24"/>
              </w:rPr>
            </w:pPr>
            <w:r w:rsidRPr="0069551A">
              <w:rPr>
                <w:b/>
                <w:sz w:val="24"/>
                <w:szCs w:val="24"/>
              </w:rPr>
              <w:t>Локація та матеріально-технічне забезпечення</w:t>
            </w:r>
          </w:p>
        </w:tc>
        <w:tc>
          <w:tcPr>
            <w:tcW w:w="7160" w:type="dxa"/>
            <w:gridSpan w:val="2"/>
          </w:tcPr>
          <w:p w:rsidR="004422F2" w:rsidRPr="0069551A" w:rsidRDefault="004422F2" w:rsidP="00E94CDD">
            <w:pPr>
              <w:rPr>
                <w:sz w:val="24"/>
                <w:szCs w:val="24"/>
              </w:rPr>
            </w:pPr>
            <w:r w:rsidRPr="0069551A">
              <w:rPr>
                <w:sz w:val="24"/>
                <w:szCs w:val="24"/>
              </w:rPr>
              <w:t>Аудиторія теоретичного навчання</w:t>
            </w:r>
          </w:p>
          <w:p w:rsidR="004422F2" w:rsidRPr="0069551A" w:rsidRDefault="004422F2" w:rsidP="00E94CDD">
            <w:pPr>
              <w:rPr>
                <w:sz w:val="24"/>
                <w:szCs w:val="24"/>
              </w:rPr>
            </w:pPr>
          </w:p>
        </w:tc>
      </w:tr>
      <w:tr w:rsidR="004422F2" w:rsidRPr="0069551A" w:rsidTr="00E94CDD">
        <w:tc>
          <w:tcPr>
            <w:tcW w:w="3261" w:type="dxa"/>
            <w:shd w:val="clear" w:color="auto" w:fill="FFFFFF"/>
          </w:tcPr>
          <w:p w:rsidR="004422F2" w:rsidRPr="0069551A" w:rsidRDefault="004422F2" w:rsidP="00E94CDD">
            <w:pPr>
              <w:rPr>
                <w:b/>
                <w:sz w:val="24"/>
                <w:szCs w:val="24"/>
              </w:rPr>
            </w:pPr>
            <w:r w:rsidRPr="0069551A">
              <w:rPr>
                <w:b/>
                <w:sz w:val="24"/>
                <w:szCs w:val="24"/>
              </w:rPr>
              <w:t>Семестровий контроль, екзаменаційна методика</w:t>
            </w:r>
          </w:p>
        </w:tc>
        <w:tc>
          <w:tcPr>
            <w:tcW w:w="7160" w:type="dxa"/>
            <w:gridSpan w:val="2"/>
          </w:tcPr>
          <w:p w:rsidR="004422F2" w:rsidRPr="0069551A" w:rsidRDefault="004422F2" w:rsidP="00E94CDD">
            <w:pPr>
              <w:rPr>
                <w:color w:val="000000"/>
                <w:sz w:val="24"/>
                <w:szCs w:val="24"/>
                <w:shd w:val="clear" w:color="auto" w:fill="FFFFFF"/>
              </w:rPr>
            </w:pPr>
            <w:r w:rsidRPr="0069551A">
              <w:rPr>
                <w:sz w:val="24"/>
                <w:szCs w:val="24"/>
              </w:rPr>
              <w:t>Залік, тестування</w:t>
            </w:r>
          </w:p>
        </w:tc>
      </w:tr>
      <w:tr w:rsidR="004422F2" w:rsidRPr="0069551A" w:rsidTr="00E94CDD">
        <w:tc>
          <w:tcPr>
            <w:tcW w:w="3261" w:type="dxa"/>
            <w:shd w:val="clear" w:color="auto" w:fill="FFFFFF"/>
          </w:tcPr>
          <w:p w:rsidR="004422F2" w:rsidRPr="0069551A" w:rsidRDefault="004422F2" w:rsidP="00E94CDD">
            <w:pPr>
              <w:rPr>
                <w:b/>
                <w:color w:val="000000"/>
                <w:sz w:val="24"/>
                <w:szCs w:val="24"/>
                <w:shd w:val="clear" w:color="auto" w:fill="FFFFFF"/>
              </w:rPr>
            </w:pPr>
            <w:r w:rsidRPr="0069551A">
              <w:rPr>
                <w:b/>
                <w:color w:val="000000"/>
                <w:sz w:val="24"/>
                <w:szCs w:val="24"/>
                <w:shd w:val="clear" w:color="auto" w:fill="FFFFFF"/>
              </w:rPr>
              <w:t>Кафедра</w:t>
            </w:r>
          </w:p>
        </w:tc>
        <w:tc>
          <w:tcPr>
            <w:tcW w:w="7160" w:type="dxa"/>
            <w:gridSpan w:val="2"/>
          </w:tcPr>
          <w:p w:rsidR="004422F2" w:rsidRPr="0069551A" w:rsidRDefault="004422F2" w:rsidP="00E94CDD">
            <w:pPr>
              <w:rPr>
                <w:sz w:val="24"/>
                <w:szCs w:val="24"/>
              </w:rPr>
            </w:pPr>
            <w:r w:rsidRPr="0069551A">
              <w:rPr>
                <w:sz w:val="24"/>
                <w:szCs w:val="24"/>
              </w:rPr>
              <w:t>Конституційного і адміністративного права</w:t>
            </w:r>
          </w:p>
        </w:tc>
      </w:tr>
      <w:tr w:rsidR="004422F2" w:rsidRPr="0069551A" w:rsidTr="00E94CDD">
        <w:tc>
          <w:tcPr>
            <w:tcW w:w="3261" w:type="dxa"/>
            <w:shd w:val="clear" w:color="auto" w:fill="FFFFFF"/>
          </w:tcPr>
          <w:p w:rsidR="004422F2" w:rsidRPr="0069551A" w:rsidRDefault="004422F2" w:rsidP="00E94CDD">
            <w:pPr>
              <w:rPr>
                <w:b/>
                <w:color w:val="000000"/>
                <w:sz w:val="24"/>
                <w:szCs w:val="24"/>
                <w:shd w:val="clear" w:color="auto" w:fill="FFFFFF"/>
              </w:rPr>
            </w:pPr>
            <w:r w:rsidRPr="0069551A">
              <w:rPr>
                <w:b/>
                <w:color w:val="000000"/>
                <w:sz w:val="24"/>
                <w:szCs w:val="24"/>
                <w:shd w:val="clear" w:color="auto" w:fill="FFFFFF"/>
              </w:rPr>
              <w:t>Факультет</w:t>
            </w:r>
          </w:p>
        </w:tc>
        <w:tc>
          <w:tcPr>
            <w:tcW w:w="7160" w:type="dxa"/>
            <w:gridSpan w:val="2"/>
          </w:tcPr>
          <w:p w:rsidR="004422F2" w:rsidRPr="0069551A" w:rsidRDefault="004422F2" w:rsidP="00E94CDD">
            <w:pPr>
              <w:rPr>
                <w:sz w:val="24"/>
                <w:szCs w:val="24"/>
              </w:rPr>
            </w:pPr>
            <w:r w:rsidRPr="0069551A">
              <w:rPr>
                <w:sz w:val="24"/>
                <w:szCs w:val="24"/>
              </w:rPr>
              <w:t>Юридичний факультет</w:t>
            </w:r>
          </w:p>
        </w:tc>
      </w:tr>
      <w:tr w:rsidR="004422F2" w:rsidRPr="0069551A" w:rsidTr="00E94CDD">
        <w:trPr>
          <w:trHeight w:val="1959"/>
        </w:trPr>
        <w:tc>
          <w:tcPr>
            <w:tcW w:w="3261" w:type="dxa"/>
            <w:shd w:val="clear" w:color="auto" w:fill="FFFFFF"/>
          </w:tcPr>
          <w:p w:rsidR="004422F2" w:rsidRPr="0069551A" w:rsidRDefault="004422F2" w:rsidP="00E94CDD">
            <w:pPr>
              <w:rPr>
                <w:b/>
                <w:color w:val="000000"/>
                <w:sz w:val="24"/>
                <w:szCs w:val="24"/>
                <w:shd w:val="clear" w:color="auto" w:fill="FFFFFF"/>
              </w:rPr>
            </w:pPr>
            <w:r w:rsidRPr="0069551A">
              <w:rPr>
                <w:b/>
                <w:color w:val="000000"/>
                <w:sz w:val="24"/>
                <w:szCs w:val="24"/>
                <w:shd w:val="clear" w:color="auto" w:fill="FFFFFF"/>
              </w:rPr>
              <w:t>Викладач</w:t>
            </w:r>
          </w:p>
        </w:tc>
        <w:tc>
          <w:tcPr>
            <w:tcW w:w="2640" w:type="dxa"/>
          </w:tcPr>
          <w:p w:rsidR="004422F2" w:rsidRPr="0069551A" w:rsidRDefault="004422F2" w:rsidP="00E94CDD">
            <w:pPr>
              <w:rPr>
                <w:b/>
                <w:color w:val="000000"/>
                <w:sz w:val="24"/>
                <w:szCs w:val="24"/>
                <w:shd w:val="clear" w:color="auto" w:fill="FFFFFF"/>
              </w:rPr>
            </w:pPr>
            <w:r w:rsidRPr="0069551A">
              <w:rPr>
                <w:sz w:val="24"/>
                <w:szCs w:val="24"/>
              </w:rPr>
              <w:fldChar w:fldCharType="begin"/>
            </w:r>
            <w:r w:rsidRPr="0069551A">
              <w:rPr>
                <w:sz w:val="24"/>
                <w:szCs w:val="24"/>
              </w:rPr>
              <w:instrText xml:space="preserve"> INCLUDEPICTURE "http://www.law.nau.edu.ua/images/stories/vykladachi_/tokarieva.jpg" \* MERGEFORMATINET </w:instrText>
            </w:r>
            <w:r w:rsidRPr="0069551A">
              <w:rPr>
                <w:sz w:val="24"/>
                <w:szCs w:val="24"/>
              </w:rPr>
              <w:fldChar w:fldCharType="separate"/>
            </w:r>
            <w:r w:rsidR="00B8197C">
              <w:rPr>
                <w:sz w:val="24"/>
                <w:szCs w:val="24"/>
              </w:rPr>
              <w:fldChar w:fldCharType="begin"/>
            </w:r>
            <w:r w:rsidR="00B8197C">
              <w:rPr>
                <w:sz w:val="24"/>
                <w:szCs w:val="24"/>
              </w:rPr>
              <w:instrText xml:space="preserve"> </w:instrText>
            </w:r>
            <w:r w:rsidR="00B8197C">
              <w:rPr>
                <w:sz w:val="24"/>
                <w:szCs w:val="24"/>
              </w:rPr>
              <w:instrText>INCLUDEPICTURE  "http://www.law.nau.edu.ua/images/stories/vykladachi_/tokarieva.jpg" \* MERGEFORMATINET</w:instrText>
            </w:r>
            <w:r w:rsidR="00B8197C">
              <w:rPr>
                <w:sz w:val="24"/>
                <w:szCs w:val="24"/>
              </w:rPr>
              <w:instrText xml:space="preserve"> </w:instrText>
            </w:r>
            <w:r w:rsidR="00B8197C">
              <w:rPr>
                <w:sz w:val="24"/>
                <w:szCs w:val="24"/>
              </w:rPr>
              <w:fldChar w:fldCharType="separate"/>
            </w:r>
            <w:r w:rsidR="00B8197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28.25pt">
                  <v:imagedata r:id="rId7" r:href="rId8"/>
                </v:shape>
              </w:pict>
            </w:r>
            <w:r w:rsidR="00B8197C">
              <w:rPr>
                <w:sz w:val="24"/>
                <w:szCs w:val="24"/>
              </w:rPr>
              <w:fldChar w:fldCharType="end"/>
            </w:r>
            <w:r w:rsidRPr="0069551A">
              <w:rPr>
                <w:sz w:val="24"/>
                <w:szCs w:val="24"/>
              </w:rPr>
              <w:fldChar w:fldCharType="end"/>
            </w:r>
            <w:r w:rsidRPr="0069551A">
              <w:rPr>
                <w:b/>
                <w:sz w:val="24"/>
                <w:szCs w:val="24"/>
              </w:rPr>
              <w:t xml:space="preserve"> </w:t>
            </w:r>
          </w:p>
        </w:tc>
        <w:tc>
          <w:tcPr>
            <w:tcW w:w="4520" w:type="dxa"/>
          </w:tcPr>
          <w:p w:rsidR="004422F2" w:rsidRPr="0069551A" w:rsidRDefault="004422F2" w:rsidP="00E94CDD">
            <w:pPr>
              <w:rPr>
                <w:b/>
                <w:sz w:val="24"/>
                <w:szCs w:val="24"/>
              </w:rPr>
            </w:pPr>
            <w:r w:rsidRPr="0069551A">
              <w:rPr>
                <w:b/>
                <w:sz w:val="24"/>
                <w:szCs w:val="24"/>
              </w:rPr>
              <w:t>ТОКАРЄВА КСЕНІЯ СЕРГІЇВНА</w:t>
            </w:r>
          </w:p>
          <w:p w:rsidR="004422F2" w:rsidRPr="0069551A" w:rsidRDefault="004422F2" w:rsidP="00E94CDD">
            <w:pPr>
              <w:rPr>
                <w:b/>
                <w:sz w:val="24"/>
                <w:szCs w:val="24"/>
              </w:rPr>
            </w:pPr>
            <w:r w:rsidRPr="0069551A">
              <w:rPr>
                <w:b/>
                <w:sz w:val="24"/>
                <w:szCs w:val="24"/>
              </w:rPr>
              <w:t>Посада: доцент кафедри</w:t>
            </w:r>
          </w:p>
          <w:p w:rsidR="004422F2" w:rsidRPr="0069551A" w:rsidRDefault="004422F2" w:rsidP="00E94CDD">
            <w:pPr>
              <w:rPr>
                <w:b/>
                <w:sz w:val="24"/>
                <w:szCs w:val="24"/>
              </w:rPr>
            </w:pPr>
            <w:r w:rsidRPr="0069551A">
              <w:rPr>
                <w:b/>
                <w:sz w:val="24"/>
                <w:szCs w:val="24"/>
              </w:rPr>
              <w:t>Науковий  ступінь: кандидат юридичних наук</w:t>
            </w:r>
          </w:p>
          <w:p w:rsidR="004422F2" w:rsidRPr="0069551A" w:rsidRDefault="004422F2" w:rsidP="00E94CDD">
            <w:pPr>
              <w:rPr>
                <w:b/>
                <w:sz w:val="24"/>
                <w:szCs w:val="24"/>
              </w:rPr>
            </w:pPr>
            <w:r w:rsidRPr="0069551A">
              <w:rPr>
                <w:b/>
                <w:sz w:val="24"/>
                <w:szCs w:val="24"/>
              </w:rPr>
              <w:t>Вчене звання: -</w:t>
            </w:r>
          </w:p>
          <w:p w:rsidR="004422F2" w:rsidRPr="0069551A" w:rsidRDefault="004422F2" w:rsidP="00E94CDD">
            <w:pPr>
              <w:rPr>
                <w:b/>
                <w:sz w:val="24"/>
                <w:szCs w:val="24"/>
                <w:lang w:val="ru-RU"/>
              </w:rPr>
            </w:pPr>
            <w:proofErr w:type="spellStart"/>
            <w:r w:rsidRPr="00402F43">
              <w:rPr>
                <w:b/>
                <w:sz w:val="24"/>
                <w:szCs w:val="24"/>
                <w:shd w:val="clear" w:color="auto" w:fill="F7CAAC"/>
              </w:rPr>
              <w:t>Профайл</w:t>
            </w:r>
            <w:proofErr w:type="spellEnd"/>
            <w:r w:rsidRPr="00402F43">
              <w:rPr>
                <w:b/>
                <w:sz w:val="24"/>
                <w:szCs w:val="24"/>
                <w:shd w:val="clear" w:color="auto" w:fill="F7CAAC"/>
              </w:rPr>
              <w:t xml:space="preserve"> викладача</w:t>
            </w:r>
            <w:r w:rsidRPr="0069551A">
              <w:rPr>
                <w:b/>
                <w:sz w:val="24"/>
                <w:szCs w:val="24"/>
              </w:rPr>
              <w:t>:</w:t>
            </w:r>
            <w:r w:rsidRPr="0069551A">
              <w:rPr>
                <w:b/>
                <w:sz w:val="24"/>
                <w:szCs w:val="24"/>
                <w:lang w:val="ru-RU"/>
              </w:rPr>
              <w:t xml:space="preserve"> </w:t>
            </w:r>
          </w:p>
          <w:p w:rsidR="004422F2" w:rsidRPr="0069551A" w:rsidRDefault="004422F2" w:rsidP="00E94CDD">
            <w:pPr>
              <w:rPr>
                <w:b/>
                <w:sz w:val="24"/>
                <w:szCs w:val="24"/>
              </w:rPr>
            </w:pPr>
            <w:r w:rsidRPr="0069551A">
              <w:rPr>
                <w:b/>
                <w:sz w:val="24"/>
                <w:szCs w:val="24"/>
              </w:rPr>
              <w:t>Тел.: +380674433155</w:t>
            </w:r>
          </w:p>
          <w:p w:rsidR="004422F2" w:rsidRPr="0069551A" w:rsidRDefault="004422F2" w:rsidP="00E94CDD">
            <w:pPr>
              <w:rPr>
                <w:b/>
                <w:sz w:val="24"/>
                <w:szCs w:val="24"/>
              </w:rPr>
            </w:pPr>
            <w:r w:rsidRPr="0069551A">
              <w:rPr>
                <w:b/>
                <w:sz w:val="24"/>
                <w:szCs w:val="24"/>
              </w:rPr>
              <w:t>E-</w:t>
            </w:r>
            <w:proofErr w:type="spellStart"/>
            <w:r w:rsidRPr="0069551A">
              <w:rPr>
                <w:b/>
                <w:sz w:val="24"/>
                <w:szCs w:val="24"/>
              </w:rPr>
              <w:t>mail</w:t>
            </w:r>
            <w:proofErr w:type="spellEnd"/>
            <w:r w:rsidRPr="0069551A">
              <w:rPr>
                <w:b/>
                <w:sz w:val="24"/>
                <w:szCs w:val="24"/>
              </w:rPr>
              <w:t xml:space="preserve">: </w:t>
            </w:r>
            <w:r w:rsidRPr="0069551A">
              <w:rPr>
                <w:sz w:val="24"/>
                <w:szCs w:val="24"/>
                <w:shd w:val="clear" w:color="auto" w:fill="FFFFFF"/>
              </w:rPr>
              <w:t>ph.d.tokareva@gmail.com</w:t>
            </w:r>
          </w:p>
          <w:p w:rsidR="004422F2" w:rsidRPr="0069551A" w:rsidRDefault="004422F2" w:rsidP="00E94CDD">
            <w:pPr>
              <w:rPr>
                <w:b/>
                <w:color w:val="000000"/>
                <w:sz w:val="24"/>
                <w:szCs w:val="24"/>
                <w:shd w:val="clear" w:color="auto" w:fill="FFFFFF"/>
              </w:rPr>
            </w:pPr>
            <w:r w:rsidRPr="0069551A">
              <w:rPr>
                <w:b/>
                <w:sz w:val="24"/>
                <w:szCs w:val="24"/>
              </w:rPr>
              <w:t>Робоче місце: 1.437</w:t>
            </w:r>
          </w:p>
        </w:tc>
      </w:tr>
      <w:tr w:rsidR="004422F2" w:rsidRPr="0069551A" w:rsidTr="00E94CDD">
        <w:tc>
          <w:tcPr>
            <w:tcW w:w="3261" w:type="dxa"/>
            <w:shd w:val="clear" w:color="auto" w:fill="FFFFFF"/>
          </w:tcPr>
          <w:p w:rsidR="004422F2" w:rsidRPr="0069551A" w:rsidRDefault="004422F2" w:rsidP="00E94CDD">
            <w:pPr>
              <w:rPr>
                <w:b/>
                <w:sz w:val="24"/>
                <w:szCs w:val="24"/>
              </w:rPr>
            </w:pPr>
            <w:r w:rsidRPr="0069551A">
              <w:rPr>
                <w:b/>
                <w:sz w:val="24"/>
                <w:szCs w:val="24"/>
              </w:rPr>
              <w:t>Оригінальність навчальної дисципліни</w:t>
            </w:r>
          </w:p>
        </w:tc>
        <w:tc>
          <w:tcPr>
            <w:tcW w:w="7160" w:type="dxa"/>
            <w:gridSpan w:val="2"/>
          </w:tcPr>
          <w:p w:rsidR="004422F2" w:rsidRPr="0069551A" w:rsidRDefault="004422F2" w:rsidP="00E94CDD">
            <w:pPr>
              <w:rPr>
                <w:color w:val="000000"/>
                <w:sz w:val="24"/>
                <w:szCs w:val="24"/>
                <w:shd w:val="clear" w:color="auto" w:fill="FFFFFF"/>
              </w:rPr>
            </w:pPr>
            <w:r w:rsidRPr="0069551A">
              <w:rPr>
                <w:sz w:val="24"/>
                <w:szCs w:val="24"/>
              </w:rPr>
              <w:t>Авторський курс</w:t>
            </w:r>
          </w:p>
        </w:tc>
      </w:tr>
      <w:tr w:rsidR="004422F2" w:rsidRPr="0069551A" w:rsidTr="00E94CDD">
        <w:tc>
          <w:tcPr>
            <w:tcW w:w="3261" w:type="dxa"/>
            <w:shd w:val="clear" w:color="auto" w:fill="F7CAAC"/>
          </w:tcPr>
          <w:p w:rsidR="004422F2" w:rsidRPr="0069551A" w:rsidRDefault="004422F2" w:rsidP="00E94CDD">
            <w:pPr>
              <w:rPr>
                <w:b/>
                <w:sz w:val="24"/>
                <w:szCs w:val="24"/>
              </w:rPr>
            </w:pPr>
            <w:proofErr w:type="spellStart"/>
            <w:r w:rsidRPr="0069551A">
              <w:rPr>
                <w:b/>
                <w:sz w:val="24"/>
                <w:szCs w:val="24"/>
              </w:rPr>
              <w:t>Лінк</w:t>
            </w:r>
            <w:proofErr w:type="spellEnd"/>
            <w:r w:rsidRPr="0069551A">
              <w:rPr>
                <w:b/>
                <w:sz w:val="24"/>
                <w:szCs w:val="24"/>
              </w:rPr>
              <w:t xml:space="preserve"> на дисципліну</w:t>
            </w:r>
          </w:p>
        </w:tc>
        <w:tc>
          <w:tcPr>
            <w:tcW w:w="7160" w:type="dxa"/>
            <w:gridSpan w:val="2"/>
          </w:tcPr>
          <w:p w:rsidR="004422F2" w:rsidRPr="0069551A" w:rsidRDefault="004422F2" w:rsidP="00E94CDD">
            <w:pPr>
              <w:jc w:val="center"/>
              <w:rPr>
                <w:b/>
                <w:color w:val="000000"/>
                <w:sz w:val="24"/>
                <w:szCs w:val="24"/>
                <w:shd w:val="clear" w:color="auto" w:fill="FFFFFF"/>
              </w:rPr>
            </w:pPr>
          </w:p>
        </w:tc>
      </w:tr>
    </w:tbl>
    <w:p w:rsidR="003E23AD" w:rsidRDefault="00B8197C"/>
    <w:sectPr w:rsidR="003E23AD" w:rsidSect="004422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12A"/>
    <w:multiLevelType w:val="hybridMultilevel"/>
    <w:tmpl w:val="BA781F9C"/>
    <w:lvl w:ilvl="0" w:tplc="EF5C227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D86B28"/>
    <w:multiLevelType w:val="hybridMultilevel"/>
    <w:tmpl w:val="F5963846"/>
    <w:lvl w:ilvl="0" w:tplc="1F684718">
      <w:start w:val="1"/>
      <w:numFmt w:val="bullet"/>
      <w:suff w:val="space"/>
      <w:lvlText w:val="−"/>
      <w:lvlJc w:val="left"/>
      <w:pPr>
        <w:ind w:left="1069" w:hanging="360"/>
      </w:pPr>
      <w:rPr>
        <w:rFonts w:ascii="Times New Roman" w:hAnsi="Times New Roman" w:cs="Times New Roman" w:hint="default"/>
        <w:b w:val="0"/>
        <w:color w:val="000000"/>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6E"/>
    <w:rsid w:val="004422F2"/>
    <w:rsid w:val="0053395D"/>
    <w:rsid w:val="00A97C67"/>
    <w:rsid w:val="00B8197C"/>
    <w:rsid w:val="00E01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F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22F2"/>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F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22F2"/>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law.nau.edu.ua/images/stories/vykladachi_/tokarieva.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3271</Words>
  <Characters>1866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Инна</cp:lastModifiedBy>
  <cp:revision>2</cp:revision>
  <dcterms:created xsi:type="dcterms:W3CDTF">2023-09-05T13:35:00Z</dcterms:created>
  <dcterms:modified xsi:type="dcterms:W3CDTF">2023-09-05T13:35:00Z</dcterms:modified>
</cp:coreProperties>
</file>